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BD64" w14:textId="54DE151E" w:rsidR="00BF2C64" w:rsidRDefault="00BF2C64" w:rsidP="00B74456"/>
    <w:p w14:paraId="67F431FC" w14:textId="77777777" w:rsidR="00BF2C64" w:rsidRPr="00BF2C64" w:rsidRDefault="00BF2C64" w:rsidP="00B74456">
      <w:pPr>
        <w:rPr>
          <w:sz w:val="24"/>
          <w:szCs w:val="24"/>
        </w:rPr>
      </w:pPr>
    </w:p>
    <w:p w14:paraId="7FD20B88" w14:textId="22F5D564" w:rsidR="00BF2C64" w:rsidRDefault="00354CE3" w:rsidP="00B74456">
      <w:pPr>
        <w:rPr>
          <w:sz w:val="24"/>
          <w:szCs w:val="24"/>
        </w:rPr>
      </w:pPr>
      <w:r w:rsidRPr="00015F70">
        <w:rPr>
          <w:sz w:val="24"/>
          <w:szCs w:val="24"/>
        </w:rPr>
        <w:t xml:space="preserve">March </w:t>
      </w:r>
      <w:r w:rsidR="00015F70">
        <w:rPr>
          <w:sz w:val="24"/>
          <w:szCs w:val="24"/>
        </w:rPr>
        <w:t>1</w:t>
      </w:r>
      <w:r w:rsidR="00E63B00">
        <w:rPr>
          <w:sz w:val="24"/>
          <w:szCs w:val="24"/>
        </w:rPr>
        <w:t>9</w:t>
      </w:r>
      <w:r w:rsidRPr="00015F70">
        <w:rPr>
          <w:sz w:val="24"/>
          <w:szCs w:val="24"/>
        </w:rPr>
        <w:t>, 2026</w:t>
      </w:r>
    </w:p>
    <w:p w14:paraId="0C5F779A" w14:textId="77777777" w:rsidR="00354CE3" w:rsidRPr="00BF2C64" w:rsidRDefault="00354CE3" w:rsidP="00B74456">
      <w:pPr>
        <w:rPr>
          <w:sz w:val="24"/>
          <w:szCs w:val="24"/>
        </w:rPr>
      </w:pPr>
    </w:p>
    <w:p w14:paraId="0C7DA064" w14:textId="7DC13DC9" w:rsidR="00BF2C64" w:rsidRPr="00354CE3" w:rsidRDefault="00BF2C64" w:rsidP="00B74456">
      <w:pPr>
        <w:rPr>
          <w:i/>
          <w:iCs/>
          <w:sz w:val="24"/>
          <w:szCs w:val="24"/>
        </w:rPr>
      </w:pPr>
      <w:r w:rsidRPr="00354CE3">
        <w:rPr>
          <w:i/>
          <w:iCs/>
          <w:sz w:val="24"/>
          <w:szCs w:val="24"/>
        </w:rPr>
        <w:t xml:space="preserve">Delivered via email </w:t>
      </w:r>
    </w:p>
    <w:p w14:paraId="279451FC" w14:textId="77777777" w:rsidR="00BF2C64" w:rsidRPr="00BF2C64" w:rsidRDefault="00BF2C64" w:rsidP="00BF2C64">
      <w:pPr>
        <w:pStyle w:val="HELV10"/>
        <w:ind w:right="-450"/>
        <w:rPr>
          <w:rFonts w:ascii="Times New Roman" w:hAnsi="Times New Roman"/>
          <w:sz w:val="24"/>
          <w:szCs w:val="24"/>
        </w:rPr>
      </w:pPr>
    </w:p>
    <w:p w14:paraId="00979A74" w14:textId="4005A296" w:rsidR="00BF2C64" w:rsidRPr="00BF2C64" w:rsidRDefault="00BF2C64" w:rsidP="00BF2C64">
      <w:pPr>
        <w:pStyle w:val="HELV10"/>
        <w:ind w:right="-450"/>
        <w:rPr>
          <w:rFonts w:ascii="Times New Roman" w:hAnsi="Times New Roman"/>
          <w:b/>
          <w:bCs/>
          <w:sz w:val="24"/>
          <w:szCs w:val="24"/>
        </w:rPr>
      </w:pPr>
      <w:r w:rsidRPr="00BF2C64">
        <w:rPr>
          <w:rFonts w:ascii="Times New Roman" w:hAnsi="Times New Roman"/>
          <w:b/>
          <w:bCs/>
          <w:sz w:val="24"/>
          <w:szCs w:val="24"/>
        </w:rPr>
        <w:t>RE: Request for public hearing regarding Aries Pine Tree LLC license applications</w:t>
      </w:r>
    </w:p>
    <w:p w14:paraId="35A51B8C" w14:textId="77777777" w:rsidR="00BF2C64" w:rsidRDefault="00BF2C64" w:rsidP="00BF2C64">
      <w:pPr>
        <w:pStyle w:val="HELV10"/>
        <w:ind w:right="-450"/>
        <w:rPr>
          <w:rFonts w:ascii="Times New Roman" w:hAnsi="Times New Roman"/>
          <w:sz w:val="24"/>
          <w:szCs w:val="24"/>
        </w:rPr>
      </w:pPr>
    </w:p>
    <w:p w14:paraId="65A79D87" w14:textId="607AA806" w:rsidR="00BF2C64" w:rsidRPr="00E54BA4" w:rsidRDefault="00BF2C64" w:rsidP="00BF2C64">
      <w:pPr>
        <w:pStyle w:val="HELV10"/>
        <w:ind w:right="-450"/>
        <w:rPr>
          <w:rFonts w:ascii="Times New Roman" w:hAnsi="Times New Roman"/>
          <w:sz w:val="24"/>
          <w:szCs w:val="24"/>
        </w:rPr>
      </w:pPr>
      <w:r>
        <w:rPr>
          <w:rFonts w:ascii="Times New Roman" w:hAnsi="Times New Roman"/>
          <w:sz w:val="24"/>
          <w:szCs w:val="24"/>
        </w:rPr>
        <w:t xml:space="preserve">The Maine Department of Environmental Protection (Department) has received requests for a public hearing regarding air emission license application A-119-71-A-N and solid waste processing facility license application </w:t>
      </w:r>
      <w:r w:rsidR="00F57A99">
        <w:rPr>
          <w:rFonts w:ascii="Times New Roman" w:hAnsi="Times New Roman"/>
          <w:sz w:val="24"/>
          <w:szCs w:val="24"/>
        </w:rPr>
        <w:t>S-100033</w:t>
      </w:r>
      <w:r>
        <w:rPr>
          <w:rFonts w:ascii="Times New Roman" w:hAnsi="Times New Roman"/>
          <w:sz w:val="24"/>
          <w:szCs w:val="24"/>
        </w:rPr>
        <w:t xml:space="preserve"> concerning the proposed Aries Pine Tree LLC (Aries) </w:t>
      </w:r>
      <w:r w:rsidRPr="00A66824">
        <w:rPr>
          <w:rFonts w:ascii="Times New Roman" w:hAnsi="Times New Roman"/>
          <w:sz w:val="24"/>
          <w:szCs w:val="24"/>
        </w:rPr>
        <w:t>biosolids gasification facility</w:t>
      </w:r>
      <w:r>
        <w:rPr>
          <w:rFonts w:ascii="Times New Roman" w:hAnsi="Times New Roman"/>
          <w:sz w:val="24"/>
          <w:szCs w:val="24"/>
        </w:rPr>
        <w:t xml:space="preserve"> in Sanford.  The Department is processing the applications in accordance with the Department’s </w:t>
      </w:r>
      <w:r w:rsidRPr="008D3BEB">
        <w:rPr>
          <w:rFonts w:ascii="Times New Roman" w:hAnsi="Times New Roman"/>
          <w:iCs/>
          <w:sz w:val="24"/>
          <w:szCs w:val="24"/>
        </w:rPr>
        <w:t>rule</w:t>
      </w:r>
      <w:r>
        <w:rPr>
          <w:rFonts w:ascii="Times New Roman" w:hAnsi="Times New Roman"/>
          <w:iCs/>
          <w:sz w:val="24"/>
          <w:szCs w:val="24"/>
        </w:rPr>
        <w:t>s</w:t>
      </w:r>
      <w:r w:rsidRPr="008D3BEB">
        <w:rPr>
          <w:rFonts w:ascii="Times New Roman" w:hAnsi="Times New Roman"/>
          <w:iCs/>
          <w:sz w:val="24"/>
          <w:szCs w:val="24"/>
        </w:rPr>
        <w:t xml:space="preserve"> Chapter 2,</w:t>
      </w:r>
      <w:r w:rsidRPr="00D3139A">
        <w:rPr>
          <w:rFonts w:ascii="Times New Roman" w:hAnsi="Times New Roman"/>
          <w:i/>
          <w:sz w:val="24"/>
          <w:szCs w:val="24"/>
        </w:rPr>
        <w:t xml:space="preserve"> Processing of Applications and Other Administrative Matters</w:t>
      </w:r>
      <w:r>
        <w:rPr>
          <w:rFonts w:ascii="Times New Roman" w:hAnsi="Times New Roman"/>
          <w:i/>
          <w:sz w:val="24"/>
          <w:szCs w:val="24"/>
        </w:rPr>
        <w:t xml:space="preserve"> </w:t>
      </w:r>
      <w:r w:rsidRPr="008D3BEB">
        <w:rPr>
          <w:rFonts w:ascii="Times New Roman" w:hAnsi="Times New Roman"/>
          <w:iCs/>
          <w:sz w:val="24"/>
          <w:szCs w:val="24"/>
        </w:rPr>
        <w:t>(06</w:t>
      </w:r>
      <w:r>
        <w:rPr>
          <w:rFonts w:ascii="Times New Roman" w:hAnsi="Times New Roman"/>
          <w:sz w:val="24"/>
          <w:szCs w:val="24"/>
        </w:rPr>
        <w:t xml:space="preserve">-096 C.M.R. </w:t>
      </w:r>
      <w:proofErr w:type="spellStart"/>
      <w:r>
        <w:rPr>
          <w:rFonts w:ascii="Times New Roman" w:hAnsi="Times New Roman"/>
          <w:sz w:val="24"/>
          <w:szCs w:val="24"/>
        </w:rPr>
        <w:t>ch.</w:t>
      </w:r>
      <w:proofErr w:type="spellEnd"/>
      <w:r>
        <w:rPr>
          <w:rFonts w:ascii="Times New Roman" w:hAnsi="Times New Roman"/>
          <w:sz w:val="24"/>
          <w:szCs w:val="24"/>
        </w:rPr>
        <w:t xml:space="preserve"> 2); Chapter 115, </w:t>
      </w:r>
      <w:r w:rsidRPr="008D3BEB">
        <w:rPr>
          <w:rFonts w:ascii="Times New Roman" w:hAnsi="Times New Roman"/>
          <w:i/>
          <w:iCs/>
          <w:sz w:val="24"/>
          <w:szCs w:val="24"/>
        </w:rPr>
        <w:t>Major and Minor Source Air Emission License Regulations</w:t>
      </w:r>
      <w:r>
        <w:rPr>
          <w:rFonts w:ascii="Times New Roman" w:hAnsi="Times New Roman"/>
          <w:i/>
          <w:iCs/>
          <w:sz w:val="24"/>
          <w:szCs w:val="24"/>
        </w:rPr>
        <w:t xml:space="preserve"> </w:t>
      </w:r>
      <w:r>
        <w:rPr>
          <w:rFonts w:ascii="Times New Roman" w:hAnsi="Times New Roman"/>
          <w:sz w:val="24"/>
          <w:szCs w:val="24"/>
        </w:rPr>
        <w:t xml:space="preserve">(06-096 C.M.R. </w:t>
      </w:r>
      <w:proofErr w:type="spellStart"/>
      <w:r>
        <w:rPr>
          <w:rFonts w:ascii="Times New Roman" w:hAnsi="Times New Roman"/>
          <w:sz w:val="24"/>
          <w:szCs w:val="24"/>
        </w:rPr>
        <w:t>ch</w:t>
      </w:r>
      <w:proofErr w:type="spellEnd"/>
      <w:r>
        <w:rPr>
          <w:rFonts w:ascii="Times New Roman" w:hAnsi="Times New Roman"/>
          <w:sz w:val="24"/>
          <w:szCs w:val="24"/>
        </w:rPr>
        <w:t xml:space="preserve">, 115); Chapter 400, </w:t>
      </w:r>
      <w:r w:rsidRPr="008D3BEB">
        <w:rPr>
          <w:rFonts w:ascii="Times New Roman" w:hAnsi="Times New Roman"/>
          <w:i/>
          <w:iCs/>
          <w:sz w:val="24"/>
          <w:szCs w:val="24"/>
        </w:rPr>
        <w:t>Solid Waste Management Rules: General Provisions</w:t>
      </w:r>
      <w:r>
        <w:rPr>
          <w:rFonts w:ascii="Times New Roman" w:hAnsi="Times New Roman"/>
          <w:sz w:val="24"/>
          <w:szCs w:val="24"/>
        </w:rPr>
        <w:t xml:space="preserve">, (06-096 C.M.R. </w:t>
      </w:r>
      <w:proofErr w:type="spellStart"/>
      <w:r>
        <w:rPr>
          <w:rFonts w:ascii="Times New Roman" w:hAnsi="Times New Roman"/>
          <w:sz w:val="24"/>
          <w:szCs w:val="24"/>
        </w:rPr>
        <w:t>ch.</w:t>
      </w:r>
      <w:proofErr w:type="spellEnd"/>
      <w:r>
        <w:rPr>
          <w:rFonts w:ascii="Times New Roman" w:hAnsi="Times New Roman"/>
          <w:sz w:val="24"/>
          <w:szCs w:val="24"/>
        </w:rPr>
        <w:t xml:space="preserve"> 400); and Chapter 409, </w:t>
      </w:r>
      <w:r w:rsidRPr="008D3BEB">
        <w:rPr>
          <w:rFonts w:ascii="Times New Roman" w:hAnsi="Times New Roman"/>
          <w:i/>
          <w:iCs/>
          <w:sz w:val="24"/>
          <w:szCs w:val="24"/>
        </w:rPr>
        <w:t>Solid Waste Management Rules: Processing Facilities</w:t>
      </w:r>
      <w:r>
        <w:rPr>
          <w:rFonts w:ascii="Times New Roman" w:hAnsi="Times New Roman"/>
          <w:sz w:val="24"/>
          <w:szCs w:val="24"/>
        </w:rPr>
        <w:t xml:space="preserve"> ((06-096 C.M.R. </w:t>
      </w:r>
      <w:proofErr w:type="spellStart"/>
      <w:r>
        <w:rPr>
          <w:rFonts w:ascii="Times New Roman" w:hAnsi="Times New Roman"/>
          <w:sz w:val="24"/>
          <w:szCs w:val="24"/>
        </w:rPr>
        <w:t>ch.</w:t>
      </w:r>
      <w:proofErr w:type="spellEnd"/>
      <w:r>
        <w:rPr>
          <w:rFonts w:ascii="Times New Roman" w:hAnsi="Times New Roman"/>
          <w:sz w:val="24"/>
          <w:szCs w:val="24"/>
        </w:rPr>
        <w:t xml:space="preserve"> 409).</w:t>
      </w:r>
    </w:p>
    <w:p w14:paraId="6A532479" w14:textId="77777777" w:rsidR="00BF2C64" w:rsidRPr="00E54BA4" w:rsidRDefault="00BF2C64" w:rsidP="00BF2C64">
      <w:pPr>
        <w:ind w:right="-450"/>
        <w:rPr>
          <w:sz w:val="24"/>
          <w:szCs w:val="24"/>
        </w:rPr>
      </w:pPr>
    </w:p>
    <w:p w14:paraId="12AB2D65" w14:textId="77777777" w:rsidR="00BF2C64" w:rsidRDefault="00BF2C64" w:rsidP="00BF2C64">
      <w:pPr>
        <w:ind w:right="-450"/>
        <w:rPr>
          <w:color w:val="000000"/>
          <w:sz w:val="24"/>
          <w:szCs w:val="24"/>
        </w:rPr>
      </w:pPr>
      <w:r w:rsidRPr="00D3139A">
        <w:rPr>
          <w:sz w:val="24"/>
          <w:szCs w:val="24"/>
        </w:rPr>
        <w:t xml:space="preserve">The criteria the Department uses to determine whether to grant a hearing is found in </w:t>
      </w:r>
      <w:r>
        <w:rPr>
          <w:sz w:val="24"/>
          <w:szCs w:val="24"/>
        </w:rPr>
        <w:t xml:space="preserve">Chapter 2, Section </w:t>
      </w:r>
      <w:r w:rsidRPr="00D3139A">
        <w:rPr>
          <w:sz w:val="24"/>
          <w:szCs w:val="24"/>
        </w:rPr>
        <w:t>7</w:t>
      </w:r>
      <w:r>
        <w:rPr>
          <w:sz w:val="24"/>
          <w:szCs w:val="24"/>
        </w:rPr>
        <w:t>(C)</w:t>
      </w:r>
      <w:r w:rsidRPr="00D3139A">
        <w:rPr>
          <w:sz w:val="24"/>
          <w:szCs w:val="24"/>
        </w:rPr>
        <w:t xml:space="preserve">, which states in relevant part: </w:t>
      </w:r>
      <w:r>
        <w:rPr>
          <w:sz w:val="24"/>
          <w:szCs w:val="24"/>
        </w:rPr>
        <w:t>“</w:t>
      </w:r>
      <w:r w:rsidRPr="001D350E">
        <w:rPr>
          <w:color w:val="000000"/>
          <w:sz w:val="24"/>
          <w:szCs w:val="24"/>
        </w:rPr>
        <w:t xml:space="preserve">Hearings are discretionary unless otherwise provided by law. The Commissioner may conduct a hearing on any application. </w:t>
      </w:r>
      <w:r w:rsidRPr="009D60D0">
        <w:rPr>
          <w:color w:val="000000"/>
          <w:sz w:val="24"/>
          <w:szCs w:val="24"/>
        </w:rPr>
        <w:t xml:space="preserve">The Department will hold a hearing in those instances where the Department determines there is credible conflicting technical information regarding a licensing criterion and it is likely that a hearing will assist the Department in understanding the </w:t>
      </w:r>
      <w:proofErr w:type="gramStart"/>
      <w:r w:rsidRPr="009D60D0">
        <w:rPr>
          <w:color w:val="000000"/>
          <w:sz w:val="24"/>
          <w:szCs w:val="24"/>
        </w:rPr>
        <w:t>evidence.</w:t>
      </w:r>
      <w:r>
        <w:rPr>
          <w:color w:val="000000"/>
          <w:sz w:val="24"/>
          <w:szCs w:val="24"/>
        </w:rPr>
        <w:t>”</w:t>
      </w:r>
      <w:proofErr w:type="gramEnd"/>
      <w:r>
        <w:rPr>
          <w:color w:val="000000"/>
          <w:sz w:val="24"/>
          <w:szCs w:val="24"/>
        </w:rPr>
        <w:t xml:space="preserve"> </w:t>
      </w:r>
    </w:p>
    <w:p w14:paraId="4BF943B2" w14:textId="77777777" w:rsidR="00BF2C64" w:rsidRDefault="00BF2C64" w:rsidP="00BF2C64">
      <w:pPr>
        <w:ind w:right="-450"/>
        <w:rPr>
          <w:sz w:val="24"/>
          <w:szCs w:val="24"/>
        </w:rPr>
      </w:pPr>
    </w:p>
    <w:p w14:paraId="34A6F2DC" w14:textId="77777777" w:rsidR="00BF2C64" w:rsidRDefault="00BF2C64" w:rsidP="00BF2C64">
      <w:pPr>
        <w:ind w:right="-450"/>
        <w:rPr>
          <w:sz w:val="24"/>
          <w:szCs w:val="24"/>
        </w:rPr>
      </w:pPr>
      <w:r>
        <w:rPr>
          <w:sz w:val="24"/>
          <w:szCs w:val="24"/>
        </w:rPr>
        <w:t>The Department has determined that a combined public hearing regarding the air emission and solid waste processing facility applications may assist the Department in understanding evidence provided in the applications and obtained by the Department during the application review process. Due to the growing body of evidence related to biosolids gasification, the Department has determined that a formal, adjudicatory proceeding to question expert witnesses may generate useful technical information to assist the Department in evaluating the applications against applicable standards.</w:t>
      </w:r>
    </w:p>
    <w:p w14:paraId="03BFAAAE" w14:textId="77777777" w:rsidR="00BF2C64" w:rsidRDefault="00BF2C64" w:rsidP="00BF2C64">
      <w:pPr>
        <w:ind w:right="-450"/>
        <w:rPr>
          <w:sz w:val="24"/>
          <w:szCs w:val="24"/>
        </w:rPr>
      </w:pPr>
    </w:p>
    <w:p w14:paraId="6B0396FF" w14:textId="14C9F93B" w:rsidR="00BF2C64" w:rsidRPr="004C5191" w:rsidRDefault="00BF2C64" w:rsidP="00BF2C64">
      <w:pPr>
        <w:rPr>
          <w:sz w:val="24"/>
          <w:szCs w:val="24"/>
        </w:rPr>
      </w:pPr>
      <w:r>
        <w:rPr>
          <w:sz w:val="24"/>
          <w:szCs w:val="24"/>
        </w:rPr>
        <w:t xml:space="preserve">The </w:t>
      </w:r>
      <w:r w:rsidRPr="004C5191">
        <w:rPr>
          <w:sz w:val="24"/>
          <w:szCs w:val="24"/>
        </w:rPr>
        <w:t xml:space="preserve">hearing </w:t>
      </w:r>
      <w:r>
        <w:rPr>
          <w:sz w:val="24"/>
          <w:szCs w:val="24"/>
        </w:rPr>
        <w:t xml:space="preserve">will be conducted </w:t>
      </w:r>
      <w:r w:rsidRPr="004C5191">
        <w:rPr>
          <w:sz w:val="24"/>
          <w:szCs w:val="24"/>
        </w:rPr>
        <w:t xml:space="preserve">in accordance with </w:t>
      </w:r>
      <w:r w:rsidRPr="004C5191">
        <w:rPr>
          <w:color w:val="000000"/>
          <w:sz w:val="24"/>
          <w:szCs w:val="24"/>
        </w:rPr>
        <w:t xml:space="preserve">the </w:t>
      </w:r>
      <w:r w:rsidRPr="004C5191">
        <w:rPr>
          <w:i/>
          <w:color w:val="000000"/>
          <w:sz w:val="24"/>
          <w:szCs w:val="24"/>
        </w:rPr>
        <w:t>Maine Administrative Procedure Act</w:t>
      </w:r>
      <w:r w:rsidRPr="004C5191">
        <w:rPr>
          <w:color w:val="000000"/>
          <w:sz w:val="24"/>
          <w:szCs w:val="24"/>
        </w:rPr>
        <w:t>, 5 M.R.S.</w:t>
      </w:r>
      <w:r>
        <w:rPr>
          <w:color w:val="000000"/>
          <w:sz w:val="24"/>
          <w:szCs w:val="24"/>
        </w:rPr>
        <w:t xml:space="preserve"> §§</w:t>
      </w:r>
      <w:r w:rsidRPr="004C5191">
        <w:rPr>
          <w:color w:val="000000"/>
          <w:sz w:val="24"/>
          <w:szCs w:val="24"/>
        </w:rPr>
        <w:t xml:space="preserve"> 9051–9064, and the Department’s </w:t>
      </w:r>
      <w:r w:rsidRPr="004C5191">
        <w:rPr>
          <w:i/>
          <w:sz w:val="24"/>
          <w:szCs w:val="24"/>
        </w:rPr>
        <w:t>Rules Concerning the Conduct of Licensing Hearings</w:t>
      </w:r>
      <w:r w:rsidRPr="004C5191">
        <w:rPr>
          <w:sz w:val="24"/>
          <w:szCs w:val="24"/>
        </w:rPr>
        <w:t>, 06-096 C</w:t>
      </w:r>
      <w:r>
        <w:rPr>
          <w:sz w:val="24"/>
          <w:szCs w:val="24"/>
        </w:rPr>
        <w:t>.</w:t>
      </w:r>
      <w:r w:rsidRPr="004C5191">
        <w:rPr>
          <w:sz w:val="24"/>
          <w:szCs w:val="24"/>
        </w:rPr>
        <w:t>M</w:t>
      </w:r>
      <w:r>
        <w:rPr>
          <w:sz w:val="24"/>
          <w:szCs w:val="24"/>
        </w:rPr>
        <w:t>.</w:t>
      </w:r>
      <w:r w:rsidRPr="004C5191">
        <w:rPr>
          <w:sz w:val="24"/>
          <w:szCs w:val="24"/>
        </w:rPr>
        <w:t>R</w:t>
      </w:r>
      <w:r>
        <w:rPr>
          <w:sz w:val="24"/>
          <w:szCs w:val="24"/>
        </w:rPr>
        <w:t>.</w:t>
      </w:r>
      <w:r w:rsidRPr="004C5191">
        <w:rPr>
          <w:sz w:val="24"/>
          <w:szCs w:val="24"/>
        </w:rPr>
        <w:t xml:space="preserve"> </w:t>
      </w:r>
      <w:proofErr w:type="spellStart"/>
      <w:r>
        <w:rPr>
          <w:sz w:val="24"/>
          <w:szCs w:val="24"/>
        </w:rPr>
        <w:t>ch.</w:t>
      </w:r>
      <w:proofErr w:type="spellEnd"/>
      <w:r>
        <w:rPr>
          <w:sz w:val="24"/>
          <w:szCs w:val="24"/>
        </w:rPr>
        <w:t xml:space="preserve"> </w:t>
      </w:r>
      <w:r w:rsidRPr="004C5191">
        <w:rPr>
          <w:sz w:val="24"/>
          <w:szCs w:val="24"/>
        </w:rPr>
        <w:t>3</w:t>
      </w:r>
      <w:r>
        <w:rPr>
          <w:sz w:val="24"/>
          <w:szCs w:val="24"/>
        </w:rPr>
        <w:t>.</w:t>
      </w:r>
      <w:r w:rsidRPr="004C5191">
        <w:rPr>
          <w:sz w:val="24"/>
          <w:szCs w:val="24"/>
        </w:rPr>
        <w:t xml:space="preserve">  </w:t>
      </w:r>
      <w:r>
        <w:rPr>
          <w:sz w:val="24"/>
          <w:szCs w:val="24"/>
        </w:rPr>
        <w:t>When the Department has established a schedule for the procedural steps that precede and include the adjudicatory hearing, t</w:t>
      </w:r>
      <w:r w:rsidRPr="004C5191">
        <w:rPr>
          <w:sz w:val="24"/>
          <w:szCs w:val="24"/>
        </w:rPr>
        <w:t xml:space="preserve">he Department </w:t>
      </w:r>
      <w:r>
        <w:rPr>
          <w:sz w:val="24"/>
          <w:szCs w:val="24"/>
        </w:rPr>
        <w:t>will share this information on its website under “</w:t>
      </w:r>
      <w:hyperlink r:id="rId7" w:history="1">
        <w:r w:rsidRPr="00867143">
          <w:rPr>
            <w:rStyle w:val="Hyperlink"/>
            <w:sz w:val="24"/>
            <w:szCs w:val="24"/>
          </w:rPr>
          <w:t>Major Projects Before DEP</w:t>
        </w:r>
      </w:hyperlink>
      <w:r w:rsidR="00867143">
        <w:rPr>
          <w:sz w:val="24"/>
          <w:szCs w:val="24"/>
        </w:rPr>
        <w:t>”</w:t>
      </w:r>
      <w:r>
        <w:rPr>
          <w:sz w:val="24"/>
          <w:szCs w:val="24"/>
        </w:rPr>
        <w:t xml:space="preserve">. </w:t>
      </w:r>
    </w:p>
    <w:p w14:paraId="03C4A0E9" w14:textId="77777777" w:rsidR="00BF2C64" w:rsidRDefault="00BF2C64" w:rsidP="00BF2C64">
      <w:pPr>
        <w:pStyle w:val="HELV10"/>
        <w:ind w:right="-450"/>
        <w:rPr>
          <w:rFonts w:ascii="Times New Roman" w:hAnsi="Times New Roman"/>
          <w:sz w:val="24"/>
          <w:szCs w:val="24"/>
        </w:rPr>
      </w:pPr>
    </w:p>
    <w:p w14:paraId="295DD041" w14:textId="77777777" w:rsidR="00BF2C64" w:rsidRPr="00E54BA4" w:rsidRDefault="00BF2C64" w:rsidP="00BF2C64">
      <w:pPr>
        <w:pStyle w:val="HELV10"/>
        <w:ind w:right="-450"/>
        <w:rPr>
          <w:rFonts w:ascii="Times New Roman" w:hAnsi="Times New Roman"/>
          <w:sz w:val="24"/>
          <w:szCs w:val="24"/>
        </w:rPr>
      </w:pPr>
      <w:r w:rsidRPr="00E54BA4">
        <w:rPr>
          <w:rFonts w:ascii="Times New Roman" w:hAnsi="Times New Roman"/>
          <w:sz w:val="24"/>
          <w:szCs w:val="24"/>
        </w:rPr>
        <w:t>If you have further questions</w:t>
      </w:r>
      <w:r>
        <w:rPr>
          <w:rFonts w:ascii="Times New Roman" w:hAnsi="Times New Roman"/>
          <w:sz w:val="24"/>
          <w:szCs w:val="24"/>
        </w:rPr>
        <w:t xml:space="preserve"> about the air license application</w:t>
      </w:r>
      <w:r w:rsidRPr="00E54BA4">
        <w:rPr>
          <w:rFonts w:ascii="Times New Roman" w:hAnsi="Times New Roman"/>
          <w:sz w:val="24"/>
          <w:szCs w:val="24"/>
        </w:rPr>
        <w:t>, please contact the project manager</w:t>
      </w:r>
      <w:r>
        <w:rPr>
          <w:rFonts w:ascii="Times New Roman" w:hAnsi="Times New Roman"/>
          <w:sz w:val="24"/>
          <w:szCs w:val="24"/>
        </w:rPr>
        <w:t xml:space="preserve">, Benjamin Goundie at </w:t>
      </w:r>
      <w:hyperlink r:id="rId8" w:history="1">
        <w:r w:rsidRPr="00EB659B">
          <w:rPr>
            <w:rStyle w:val="Hyperlink"/>
            <w:rFonts w:ascii="Times New Roman" w:hAnsi="Times New Roman"/>
            <w:sz w:val="24"/>
            <w:szCs w:val="24"/>
          </w:rPr>
          <w:t>benjamin.goundie@maine.gov</w:t>
        </w:r>
      </w:hyperlink>
      <w:r>
        <w:rPr>
          <w:rFonts w:ascii="Times New Roman" w:hAnsi="Times New Roman"/>
          <w:sz w:val="24"/>
          <w:szCs w:val="24"/>
        </w:rPr>
        <w:t xml:space="preserve">. If you have further questions about the solid waste processing facility license application, please contact Derek DeCastro at </w:t>
      </w:r>
      <w:hyperlink r:id="rId9" w:history="1">
        <w:r w:rsidRPr="001A2810">
          <w:rPr>
            <w:rStyle w:val="Hyperlink"/>
            <w:rFonts w:ascii="Times New Roman" w:hAnsi="Times New Roman"/>
            <w:sz w:val="24"/>
            <w:szCs w:val="24"/>
          </w:rPr>
          <w:t>Derek.DeCastro@maine.gov</w:t>
        </w:r>
      </w:hyperlink>
      <w:r>
        <w:rPr>
          <w:rFonts w:ascii="Times New Roman" w:hAnsi="Times New Roman"/>
          <w:sz w:val="24"/>
          <w:szCs w:val="24"/>
        </w:rPr>
        <w:t xml:space="preserve">. </w:t>
      </w:r>
      <w:r w:rsidRPr="00E54BA4">
        <w:rPr>
          <w:rFonts w:ascii="Times New Roman" w:hAnsi="Times New Roman"/>
          <w:sz w:val="24"/>
          <w:szCs w:val="24"/>
        </w:rPr>
        <w:t xml:space="preserve"> </w:t>
      </w:r>
    </w:p>
    <w:p w14:paraId="0F0B1DA4" w14:textId="77777777" w:rsidR="00BF2C64" w:rsidRPr="00E54BA4" w:rsidRDefault="00BF2C64" w:rsidP="00BF2C64">
      <w:pPr>
        <w:pStyle w:val="HELV10"/>
        <w:ind w:right="-450"/>
        <w:rPr>
          <w:rFonts w:ascii="Times New Roman" w:hAnsi="Times New Roman"/>
          <w:sz w:val="24"/>
          <w:szCs w:val="24"/>
        </w:rPr>
      </w:pPr>
    </w:p>
    <w:p w14:paraId="387CCFC1" w14:textId="77777777" w:rsidR="00BF2C64" w:rsidRPr="00E54BA4" w:rsidRDefault="00BF2C64" w:rsidP="00BF2C64">
      <w:pPr>
        <w:ind w:right="-450"/>
        <w:rPr>
          <w:sz w:val="24"/>
          <w:szCs w:val="24"/>
        </w:rPr>
      </w:pPr>
      <w:r w:rsidRPr="00E54BA4">
        <w:rPr>
          <w:sz w:val="24"/>
          <w:szCs w:val="24"/>
        </w:rPr>
        <w:t xml:space="preserve">Sincerely, </w:t>
      </w:r>
    </w:p>
    <w:p w14:paraId="273AFB47" w14:textId="2ECF0A88" w:rsidR="00BF2C64" w:rsidRPr="00E54BA4" w:rsidRDefault="00A06F54" w:rsidP="00BF2C64">
      <w:pPr>
        <w:ind w:right="-450"/>
        <w:rPr>
          <w:sz w:val="24"/>
          <w:szCs w:val="24"/>
        </w:rPr>
      </w:pPr>
      <w:r>
        <w:rPr>
          <w:noProof/>
          <w:sz w:val="24"/>
          <w:szCs w:val="24"/>
        </w:rPr>
        <w:drawing>
          <wp:inline distT="0" distB="0" distL="0" distR="0" wp14:anchorId="57D3E0FE" wp14:editId="01B08A0B">
            <wp:extent cx="2185420" cy="534925"/>
            <wp:effectExtent l="0" t="0" r="5715" b="0"/>
            <wp:docPr id="74595698" name="Picture 3" descr="Melanie Loyzim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5698" name="Picture 3" descr="Melanie Loyzim signature."/>
                    <pic:cNvPicPr/>
                  </pic:nvPicPr>
                  <pic:blipFill>
                    <a:blip r:embed="rId10">
                      <a:extLst>
                        <a:ext uri="{28A0092B-C50C-407E-A947-70E740481C1C}">
                          <a14:useLocalDpi xmlns:a14="http://schemas.microsoft.com/office/drawing/2010/main" val="0"/>
                        </a:ext>
                      </a:extLst>
                    </a:blip>
                    <a:stretch>
                      <a:fillRect/>
                    </a:stretch>
                  </pic:blipFill>
                  <pic:spPr>
                    <a:xfrm>
                      <a:off x="0" y="0"/>
                      <a:ext cx="2185420" cy="534925"/>
                    </a:xfrm>
                    <a:prstGeom prst="rect">
                      <a:avLst/>
                    </a:prstGeom>
                  </pic:spPr>
                </pic:pic>
              </a:graphicData>
            </a:graphic>
          </wp:inline>
        </w:drawing>
      </w:r>
    </w:p>
    <w:p w14:paraId="342C6EA7" w14:textId="77777777" w:rsidR="00BF2C64" w:rsidRPr="00E54BA4" w:rsidRDefault="00BF2C64" w:rsidP="00BF2C64">
      <w:pPr>
        <w:ind w:right="-450"/>
        <w:rPr>
          <w:sz w:val="24"/>
          <w:szCs w:val="24"/>
        </w:rPr>
      </w:pPr>
      <w:r>
        <w:rPr>
          <w:sz w:val="24"/>
          <w:szCs w:val="24"/>
        </w:rPr>
        <w:t xml:space="preserve">Melanie Loyzim, </w:t>
      </w:r>
      <w:r w:rsidRPr="00E54BA4">
        <w:rPr>
          <w:sz w:val="24"/>
          <w:szCs w:val="24"/>
        </w:rPr>
        <w:t>Commissioner</w:t>
      </w:r>
    </w:p>
    <w:p w14:paraId="279DCE57" w14:textId="77777777" w:rsidR="00BF2C64" w:rsidRPr="00E54BA4" w:rsidRDefault="00BF2C64" w:rsidP="00BF2C64">
      <w:pPr>
        <w:ind w:right="-450"/>
        <w:rPr>
          <w:sz w:val="24"/>
          <w:szCs w:val="24"/>
        </w:rPr>
      </w:pPr>
    </w:p>
    <w:p w14:paraId="6C01B8FE" w14:textId="77777777" w:rsidR="00BF2C64" w:rsidRPr="00E54BA4" w:rsidRDefault="00BF2C64" w:rsidP="00BF2C64">
      <w:pPr>
        <w:ind w:right="-450"/>
        <w:rPr>
          <w:sz w:val="24"/>
          <w:szCs w:val="24"/>
        </w:rPr>
      </w:pPr>
    </w:p>
    <w:p w14:paraId="7AD8AE67" w14:textId="77777777" w:rsidR="00BF2C64" w:rsidRDefault="00BF2C64" w:rsidP="00B74456"/>
    <w:p w14:paraId="30AA3892" w14:textId="77777777" w:rsidR="00233F83" w:rsidRPr="00B74456" w:rsidRDefault="00233F83" w:rsidP="00B74456"/>
    <w:sectPr w:rsidR="00233F83" w:rsidRPr="00B74456" w:rsidSect="00B42F27">
      <w:headerReference w:type="first" r:id="rId11"/>
      <w:footerReference w:type="first" r:id="rId12"/>
      <w:pgSz w:w="12240" w:h="15840"/>
      <w:pgMar w:top="1842" w:right="1440" w:bottom="1440"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1376" w14:textId="77777777" w:rsidR="00294D67" w:rsidRDefault="00294D67" w:rsidP="00B34A15">
      <w:r>
        <w:separator/>
      </w:r>
    </w:p>
  </w:endnote>
  <w:endnote w:type="continuationSeparator" w:id="0">
    <w:p w14:paraId="41E6752A" w14:textId="77777777" w:rsidR="00294D67" w:rsidRDefault="00294D67" w:rsidP="00B3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0" w:type="dxa"/>
      <w:jc w:val="center"/>
      <w:tblLook w:val="01E0" w:firstRow="1" w:lastRow="1" w:firstColumn="1" w:lastColumn="1" w:noHBand="0" w:noVBand="0"/>
    </w:tblPr>
    <w:tblGrid>
      <w:gridCol w:w="3075"/>
      <w:gridCol w:w="2721"/>
      <w:gridCol w:w="2736"/>
      <w:gridCol w:w="3168"/>
    </w:tblGrid>
    <w:tr w:rsidR="00B34A15" w:rsidRPr="00DB14DE" w14:paraId="26558489" w14:textId="77777777" w:rsidTr="00837657">
      <w:trPr>
        <w:jc w:val="center"/>
      </w:trPr>
      <w:tc>
        <w:tcPr>
          <w:tcW w:w="3075" w:type="dxa"/>
        </w:tcPr>
        <w:p w14:paraId="32B0BE4D" w14:textId="77777777" w:rsidR="00B34A15" w:rsidRPr="00DB14DE" w:rsidRDefault="00B34A15" w:rsidP="00B34A15">
          <w:pPr>
            <w:pStyle w:val="ReturnAddress"/>
            <w:ind w:left="288"/>
            <w:rPr>
              <w:color w:val="0000FF"/>
              <w:spacing w:val="10"/>
              <w:sz w:val="15"/>
              <w:szCs w:val="15"/>
            </w:rPr>
          </w:pPr>
          <w:r>
            <w:rPr>
              <w:color w:val="0000FF"/>
              <w:spacing w:val="10"/>
              <w:sz w:val="15"/>
              <w:szCs w:val="15"/>
            </w:rPr>
            <w:t>AUGUSTA</w:t>
          </w:r>
        </w:p>
      </w:tc>
      <w:tc>
        <w:tcPr>
          <w:tcW w:w="2721" w:type="dxa"/>
        </w:tcPr>
        <w:p w14:paraId="418160E5"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BANGOR</w:t>
              </w:r>
            </w:smartTag>
          </w:smartTag>
        </w:p>
      </w:tc>
      <w:tc>
        <w:tcPr>
          <w:tcW w:w="2736" w:type="dxa"/>
        </w:tcPr>
        <w:p w14:paraId="1B6F11A0"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PORTLAND</w:t>
              </w:r>
            </w:smartTag>
          </w:smartTag>
        </w:p>
      </w:tc>
      <w:tc>
        <w:tcPr>
          <w:tcW w:w="3168" w:type="dxa"/>
        </w:tcPr>
        <w:p w14:paraId="0F03F833"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w:t>
          </w:r>
        </w:p>
      </w:tc>
    </w:tr>
    <w:tr w:rsidR="00B34A15" w:rsidRPr="00DB14DE" w14:paraId="77D6FE4B" w14:textId="77777777" w:rsidTr="00837657">
      <w:trPr>
        <w:jc w:val="center"/>
      </w:trPr>
      <w:tc>
        <w:tcPr>
          <w:tcW w:w="3075" w:type="dxa"/>
        </w:tcPr>
        <w:p w14:paraId="39CA449A" w14:textId="77777777" w:rsidR="00B34A15" w:rsidRPr="00DB14DE" w:rsidRDefault="00B34A15" w:rsidP="00B34A15">
          <w:pPr>
            <w:pStyle w:val="ReturnAddress"/>
            <w:ind w:left="288"/>
            <w:rPr>
              <w:color w:val="0000FF"/>
              <w:spacing w:val="10"/>
              <w:sz w:val="15"/>
              <w:szCs w:val="15"/>
            </w:rPr>
          </w:pPr>
          <w:r>
            <w:rPr>
              <w:color w:val="0000FF"/>
              <w:spacing w:val="10"/>
              <w:sz w:val="15"/>
              <w:szCs w:val="15"/>
            </w:rPr>
            <w:t>17 STATE HOUSE STATION</w:t>
          </w:r>
        </w:p>
      </w:tc>
      <w:tc>
        <w:tcPr>
          <w:tcW w:w="2721" w:type="dxa"/>
        </w:tcPr>
        <w:p w14:paraId="1FB690B4"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106 HOGAN ROAD, SUITE 6</w:t>
              </w:r>
            </w:smartTag>
          </w:smartTag>
        </w:p>
      </w:tc>
      <w:tc>
        <w:tcPr>
          <w:tcW w:w="2736" w:type="dxa"/>
        </w:tcPr>
        <w:p w14:paraId="39DA0B2E"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312 CANCO ROAD</w:t>
              </w:r>
            </w:smartTag>
          </w:smartTag>
        </w:p>
      </w:tc>
      <w:tc>
        <w:tcPr>
          <w:tcW w:w="3168" w:type="dxa"/>
        </w:tcPr>
        <w:p w14:paraId="7CEBA99E"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1235 CENTRAL DRIVE</w:t>
              </w:r>
            </w:smartTag>
          </w:smartTag>
          <w:r w:rsidRPr="00DB14DE">
            <w:rPr>
              <w:color w:val="0000FF"/>
              <w:spacing w:val="10"/>
              <w:sz w:val="15"/>
              <w:szCs w:val="15"/>
            </w:rPr>
            <w:t xml:space="preserve">, </w:t>
          </w:r>
          <w:smartTag w:uri="urn:schemas-microsoft-com:office:smarttags" w:element="place">
            <w:smartTag w:uri="urn:schemas-microsoft-com:office:smarttags" w:element="PlaceName">
              <w:r w:rsidRPr="00DB14DE">
                <w:rPr>
                  <w:color w:val="0000FF"/>
                  <w:spacing w:val="10"/>
                  <w:sz w:val="15"/>
                  <w:szCs w:val="15"/>
                </w:rPr>
                <w:t>SKYWAY</w:t>
              </w:r>
            </w:smartTag>
            <w:r w:rsidRPr="00DB14DE">
              <w:rPr>
                <w:color w:val="0000FF"/>
                <w:spacing w:val="10"/>
                <w:sz w:val="15"/>
                <w:szCs w:val="15"/>
              </w:rPr>
              <w:t xml:space="preserve"> </w:t>
            </w:r>
            <w:smartTag w:uri="urn:schemas-microsoft-com:office:smarttags" w:element="PlaceType">
              <w:r w:rsidRPr="00DB14DE">
                <w:rPr>
                  <w:color w:val="0000FF"/>
                  <w:spacing w:val="10"/>
                  <w:sz w:val="15"/>
                  <w:szCs w:val="15"/>
                </w:rPr>
                <w:t>PARK</w:t>
              </w:r>
            </w:smartTag>
          </w:smartTag>
        </w:p>
      </w:tc>
    </w:tr>
    <w:tr w:rsidR="00B34A15" w:rsidRPr="00DB14DE" w14:paraId="5ED8C221" w14:textId="77777777" w:rsidTr="00837657">
      <w:trPr>
        <w:jc w:val="center"/>
      </w:trPr>
      <w:tc>
        <w:tcPr>
          <w:tcW w:w="3075" w:type="dxa"/>
        </w:tcPr>
        <w:p w14:paraId="0DE672AB" w14:textId="77777777" w:rsidR="00B34A15" w:rsidRPr="00DB14DE" w:rsidRDefault="00B34A15" w:rsidP="00B34A15">
          <w:pPr>
            <w:pStyle w:val="ReturnAddress"/>
            <w:ind w:left="288"/>
            <w:rPr>
              <w:color w:val="0000FF"/>
              <w:spacing w:val="10"/>
              <w:sz w:val="14"/>
              <w:szCs w:val="14"/>
            </w:rPr>
          </w:pPr>
          <w:r>
            <w:rPr>
              <w:color w:val="0000FF"/>
              <w:spacing w:val="10"/>
              <w:sz w:val="14"/>
              <w:szCs w:val="14"/>
            </w:rPr>
            <w:t>AUGUSTA, MAINE 04333-0017</w:t>
          </w:r>
        </w:p>
      </w:tc>
      <w:tc>
        <w:tcPr>
          <w:tcW w:w="2721" w:type="dxa"/>
        </w:tcPr>
        <w:p w14:paraId="5CC9C17E"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04401</w:t>
              </w:r>
            </w:smartTag>
          </w:smartTag>
        </w:p>
      </w:tc>
      <w:tc>
        <w:tcPr>
          <w:tcW w:w="2736" w:type="dxa"/>
        </w:tcPr>
        <w:p w14:paraId="4310E187"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04103</w:t>
              </w:r>
            </w:smartTag>
          </w:smartTag>
        </w:p>
      </w:tc>
      <w:tc>
        <w:tcPr>
          <w:tcW w:w="3168" w:type="dxa"/>
        </w:tcPr>
        <w:p w14:paraId="79A8E150"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 MAINE 04</w:t>
          </w:r>
          <w:r>
            <w:rPr>
              <w:color w:val="0000FF"/>
              <w:spacing w:val="10"/>
              <w:sz w:val="15"/>
              <w:szCs w:val="15"/>
            </w:rPr>
            <w:t>76</w:t>
          </w:r>
          <w:r w:rsidRPr="00DB14DE">
            <w:rPr>
              <w:color w:val="0000FF"/>
              <w:spacing w:val="10"/>
              <w:sz w:val="15"/>
              <w:szCs w:val="15"/>
            </w:rPr>
            <w:t>9</w:t>
          </w:r>
        </w:p>
      </w:tc>
    </w:tr>
    <w:tr w:rsidR="00B34A15" w:rsidRPr="00DB14DE" w14:paraId="64F3C722" w14:textId="77777777" w:rsidTr="00837657">
      <w:trPr>
        <w:jc w:val="center"/>
      </w:trPr>
      <w:tc>
        <w:tcPr>
          <w:tcW w:w="3075" w:type="dxa"/>
        </w:tcPr>
        <w:p w14:paraId="3C9C66CC" w14:textId="77777777" w:rsidR="00B34A15" w:rsidRPr="00DB14DE" w:rsidRDefault="00B34A15" w:rsidP="00B34A15">
          <w:pPr>
            <w:pStyle w:val="ReturnAddress"/>
            <w:ind w:left="288"/>
            <w:rPr>
              <w:color w:val="0000FF"/>
              <w:spacing w:val="10"/>
              <w:sz w:val="15"/>
              <w:szCs w:val="15"/>
            </w:rPr>
          </w:pPr>
          <w:r>
            <w:rPr>
              <w:color w:val="0000FF"/>
              <w:spacing w:val="10"/>
              <w:sz w:val="15"/>
              <w:szCs w:val="15"/>
            </w:rPr>
            <w:t>(207) 287-7688 FAX: (207) 287-7826</w:t>
          </w:r>
        </w:p>
      </w:tc>
      <w:tc>
        <w:tcPr>
          <w:tcW w:w="2721" w:type="dxa"/>
        </w:tcPr>
        <w:p w14:paraId="57206EC8" w14:textId="77777777" w:rsidR="00B34A15" w:rsidRPr="00DB14DE" w:rsidRDefault="00B34A15" w:rsidP="00B34A15">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tcPr>
        <w:p w14:paraId="1246E439"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tcPr>
        <w:p w14:paraId="44AE11F5"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764-0477 FAX: (207) 760-3143</w:t>
          </w:r>
        </w:p>
      </w:tc>
    </w:tr>
  </w:tbl>
  <w:p w14:paraId="772B491A" w14:textId="77777777" w:rsidR="00B34A15" w:rsidRPr="0095693D" w:rsidRDefault="00B34A15" w:rsidP="00B34A15">
    <w:pPr>
      <w:pStyle w:val="ReturnAddress"/>
      <w:tabs>
        <w:tab w:val="left" w:pos="2520"/>
        <w:tab w:val="left" w:pos="5184"/>
        <w:tab w:val="left" w:pos="7920"/>
      </w:tabs>
      <w:ind w:left="-1296"/>
      <w:rPr>
        <w:color w:val="0000FF"/>
        <w:sz w:val="12"/>
        <w:szCs w:val="12"/>
      </w:rPr>
    </w:pPr>
  </w:p>
  <w:p w14:paraId="52A05DE9" w14:textId="77777777" w:rsidR="00B34A15" w:rsidRPr="00BE7D04" w:rsidRDefault="00B34A15" w:rsidP="00B34A15">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Pr="00BE7D04">
      <w:rPr>
        <w:color w:val="0000FF"/>
        <w:spacing w:val="10"/>
        <w:sz w:val="14"/>
        <w:szCs w:val="14"/>
      </w:rPr>
      <w:t>site: www.maine.gov/dep</w:t>
    </w:r>
  </w:p>
  <w:p w14:paraId="6D3F8A09" w14:textId="77777777" w:rsidR="00B34A15" w:rsidRDefault="00B34A15" w:rsidP="00B3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5137" w14:textId="77777777" w:rsidR="00294D67" w:rsidRDefault="00294D67" w:rsidP="00B34A15">
      <w:r>
        <w:separator/>
      </w:r>
    </w:p>
  </w:footnote>
  <w:footnote w:type="continuationSeparator" w:id="0">
    <w:p w14:paraId="36553286" w14:textId="77777777" w:rsidR="00294D67" w:rsidRDefault="00294D67" w:rsidP="00B3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599C" w14:textId="77777777" w:rsidR="00B34A15" w:rsidRPr="0095693D" w:rsidRDefault="00B34A15" w:rsidP="00B34A15">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9264" behindDoc="1" locked="0" layoutInCell="0" allowOverlap="1" wp14:anchorId="7F4CE6DB" wp14:editId="4FE52C88">
          <wp:simplePos x="0" y="0"/>
          <wp:positionH relativeFrom="page">
            <wp:posOffset>457200</wp:posOffset>
          </wp:positionH>
          <wp:positionV relativeFrom="page">
            <wp:posOffset>457200</wp:posOffset>
          </wp:positionV>
          <wp:extent cx="777240" cy="746760"/>
          <wp:effectExtent l="0" t="0" r="3810" b="0"/>
          <wp:wrapNone/>
          <wp:docPr id="11" name="Picture 1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te of Maine Seal"/>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95693D">
      <w:rPr>
        <w:rFonts w:ascii="Garamond" w:hAnsi="Garamond"/>
        <w:b/>
        <w:bCs/>
        <w:smallCaps/>
        <w:color w:val="0000FF"/>
        <w:spacing w:val="22"/>
        <w:sz w:val="16"/>
        <w:szCs w:val="16"/>
      </w:rPr>
      <w:t xml:space="preserve">STATE OF </w:t>
    </w:r>
    <w:smartTag w:uri="urn:schemas-microsoft-com:office:smarttags" w:element="State">
      <w:smartTag w:uri="urn:schemas-microsoft-com:office:smarttags" w:element="place">
        <w:r w:rsidRPr="0095693D">
          <w:rPr>
            <w:rFonts w:ascii="Garamond" w:hAnsi="Garamond"/>
            <w:b/>
            <w:bCs/>
            <w:smallCaps/>
            <w:color w:val="0000FF"/>
            <w:spacing w:val="22"/>
            <w:sz w:val="16"/>
            <w:szCs w:val="16"/>
          </w:rPr>
          <w:t>MAINE</w:t>
        </w:r>
      </w:smartTag>
    </w:smartTag>
  </w:p>
  <w:p w14:paraId="45077ECD" w14:textId="77777777" w:rsidR="00B34A15" w:rsidRDefault="00B34A15" w:rsidP="00B34A15">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60288" behindDoc="1" locked="0" layoutInCell="1" allowOverlap="1" wp14:anchorId="18742B13" wp14:editId="3BA544C8">
          <wp:simplePos x="0" y="0"/>
          <wp:positionH relativeFrom="column">
            <wp:posOffset>5661660</wp:posOffset>
          </wp:positionH>
          <wp:positionV relativeFrom="page">
            <wp:posOffset>574040</wp:posOffset>
          </wp:positionV>
          <wp:extent cx="565150" cy="572135"/>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4D0104">
      <w:rPr>
        <w:rFonts w:ascii="Garamond" w:hAnsi="Garamond"/>
        <w:b/>
        <w:bCs/>
        <w:smallCaps/>
        <w:color w:val="0000FF"/>
        <w:spacing w:val="22"/>
        <w:sz w:val="21"/>
        <w:szCs w:val="21"/>
      </w:rPr>
      <w:t>Department of Environmental Protection</w:t>
    </w:r>
  </w:p>
  <w:p w14:paraId="4B98631A" w14:textId="77777777" w:rsidR="00B34A15" w:rsidRDefault="00B34A15" w:rsidP="00B34A15">
    <w:pPr>
      <w:pStyle w:val="DefaultText"/>
      <w:spacing w:line="281" w:lineRule="auto"/>
      <w:jc w:val="center"/>
      <w:rPr>
        <w:rFonts w:ascii="Garamond" w:hAnsi="Garamond"/>
        <w:b/>
        <w:bCs/>
        <w:smallCaps/>
        <w:color w:val="0000FF"/>
        <w:spacing w:val="22"/>
        <w:sz w:val="21"/>
        <w:szCs w:val="21"/>
      </w:rPr>
    </w:pPr>
  </w:p>
  <w:p w14:paraId="301EB41D"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6432" behindDoc="0" locked="0" layoutInCell="1" allowOverlap="1" wp14:anchorId="4E4C6E11" wp14:editId="652771F8">
              <wp:simplePos x="0" y="0"/>
              <wp:positionH relativeFrom="column">
                <wp:posOffset>-579120</wp:posOffset>
              </wp:positionH>
              <wp:positionV relativeFrom="paragraph">
                <wp:posOffset>269240</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747175B1"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3FBD01F5"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5100FB2E" w14:textId="77777777" w:rsidR="00B42F27" w:rsidRDefault="00B42F27" w:rsidP="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6E11" id="_x0000_t202" coordsize="21600,21600" o:spt="202" path="m,l,21600r21600,l21600,xe">
              <v:stroke joinstyle="miter"/>
              <v:path gradientshapeok="t" o:connecttype="rect"/>
            </v:shapetype>
            <v:shape id="Text Box 2" o:spid="_x0000_s1026" type="#_x0000_t202" style="position:absolute;left:0;text-align:left;margin-left:-45.6pt;margin-top:21.2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" stroked="f">
              <v:textbox>
                <w:txbxContent>
                  <w:p w14:paraId="747175B1"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3FBD01F5"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5100FB2E" w14:textId="77777777" w:rsidR="00B42F27" w:rsidRDefault="00B42F27" w:rsidP="00B42F27"/>
                </w:txbxContent>
              </v:textbox>
              <w10:wrap type="square"/>
            </v:shape>
          </w:pict>
        </mc:Fallback>
      </mc:AlternateContent>
    </w:r>
  </w:p>
  <w:p w14:paraId="24F083F2"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2336" behindDoc="0" locked="0" layoutInCell="1" allowOverlap="1" wp14:anchorId="354C113C" wp14:editId="423DF1FB">
              <wp:simplePos x="0" y="0"/>
              <wp:positionH relativeFrom="column">
                <wp:posOffset>5326380</wp:posOffset>
              </wp:positionH>
              <wp:positionV relativeFrom="paragraph">
                <wp:posOffset>93345</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78456401"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191A64EA"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249E23E0"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C113C" id="_x0000_s1027" type="#_x0000_t202" style="position:absolute;left:0;text-align:left;margin-left:419.4pt;margin-top:7.35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" stroked="f">
              <v:textbox>
                <w:txbxContent>
                  <w:p w14:paraId="78456401"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191A64EA"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249E23E0" w14:textId="77777777" w:rsidR="00B42F27" w:rsidRDefault="00B42F27"/>
                </w:txbxContent>
              </v:textbox>
              <w10:wrap type="square"/>
            </v:shape>
          </w:pict>
        </mc:Fallback>
      </mc:AlternateContent>
    </w:r>
  </w:p>
  <w:p w14:paraId="3A02925D" w14:textId="77777777" w:rsidR="00B34A15" w:rsidRPr="00867143" w:rsidRDefault="00B34A15" w:rsidP="00B0542B">
    <w:pPr>
      <w:pStyle w:val="DefaultText"/>
      <w:tabs>
        <w:tab w:val="center" w:pos="0"/>
        <w:tab w:val="center" w:pos="9360"/>
      </w:tabs>
      <w:spacing w:line="360" w:lineRule="auto"/>
      <w:ind w:left="-720" w:right="-540"/>
      <w:rPr>
        <w:color w:val="0000FF"/>
        <w:sz w:val="14"/>
      </w:rPr>
    </w:pPr>
    <w:r w:rsidRPr="00867143">
      <w:rPr>
        <w:rFonts w:cs="Arial"/>
        <w:b/>
        <w:color w:val="0000FF"/>
        <w:sz w:val="14"/>
      </w:rPr>
      <w:tab/>
    </w:r>
  </w:p>
  <w:p w14:paraId="0FB5BD26" w14:textId="77777777" w:rsidR="00B34A15" w:rsidRPr="00B42F27" w:rsidRDefault="00B34A15" w:rsidP="00B42F27">
    <w:pPr>
      <w:pStyle w:val="DefaultText"/>
      <w:tabs>
        <w:tab w:val="center" w:pos="0"/>
        <w:tab w:val="center" w:pos="9360"/>
      </w:tabs>
      <w:ind w:left="-720" w:right="-630"/>
      <w:rPr>
        <w:rFonts w:cs="Arial"/>
        <w:caps/>
        <w:color w:val="0000FF"/>
        <w:sz w:val="14"/>
      </w:rPr>
    </w:pPr>
    <w:r w:rsidRPr="00867143">
      <w:rPr>
        <w:rFonts w:cs="Arial"/>
        <w:color w:val="0000FF"/>
        <w:sz w:val="1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3D"/>
    <w:rsid w:val="00003B55"/>
    <w:rsid w:val="00015F70"/>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A0066"/>
    <w:rsid w:val="000A0E5E"/>
    <w:rsid w:val="000A790B"/>
    <w:rsid w:val="000B4854"/>
    <w:rsid w:val="000B4F78"/>
    <w:rsid w:val="000D02B1"/>
    <w:rsid w:val="000D2A6A"/>
    <w:rsid w:val="000D6566"/>
    <w:rsid w:val="000D7B08"/>
    <w:rsid w:val="000E0178"/>
    <w:rsid w:val="000E52F0"/>
    <w:rsid w:val="000E5312"/>
    <w:rsid w:val="000F43FE"/>
    <w:rsid w:val="00103245"/>
    <w:rsid w:val="00110FEF"/>
    <w:rsid w:val="00113A96"/>
    <w:rsid w:val="001245A2"/>
    <w:rsid w:val="0013038E"/>
    <w:rsid w:val="00140F22"/>
    <w:rsid w:val="00143500"/>
    <w:rsid w:val="00144042"/>
    <w:rsid w:val="00145142"/>
    <w:rsid w:val="0014754A"/>
    <w:rsid w:val="0015118D"/>
    <w:rsid w:val="00154457"/>
    <w:rsid w:val="00176AC0"/>
    <w:rsid w:val="00180736"/>
    <w:rsid w:val="00183E8E"/>
    <w:rsid w:val="00184170"/>
    <w:rsid w:val="00186DFA"/>
    <w:rsid w:val="001944DE"/>
    <w:rsid w:val="001B5AD1"/>
    <w:rsid w:val="001B6A88"/>
    <w:rsid w:val="001B6D22"/>
    <w:rsid w:val="001C0A4C"/>
    <w:rsid w:val="001C5C1A"/>
    <w:rsid w:val="001C65AC"/>
    <w:rsid w:val="001E3F39"/>
    <w:rsid w:val="001F3240"/>
    <w:rsid w:val="001F33B0"/>
    <w:rsid w:val="001F3C49"/>
    <w:rsid w:val="002047D2"/>
    <w:rsid w:val="00206E01"/>
    <w:rsid w:val="00225324"/>
    <w:rsid w:val="00233F83"/>
    <w:rsid w:val="00234384"/>
    <w:rsid w:val="00235624"/>
    <w:rsid w:val="00235941"/>
    <w:rsid w:val="00240665"/>
    <w:rsid w:val="002413E6"/>
    <w:rsid w:val="00246117"/>
    <w:rsid w:val="00253E3E"/>
    <w:rsid w:val="0026206C"/>
    <w:rsid w:val="00262AAA"/>
    <w:rsid w:val="00264F79"/>
    <w:rsid w:val="00267EA9"/>
    <w:rsid w:val="00273FC4"/>
    <w:rsid w:val="00276299"/>
    <w:rsid w:val="0029002E"/>
    <w:rsid w:val="00293EB5"/>
    <w:rsid w:val="00294D67"/>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6C6B"/>
    <w:rsid w:val="00350FC6"/>
    <w:rsid w:val="00354CE3"/>
    <w:rsid w:val="00367CEA"/>
    <w:rsid w:val="00382700"/>
    <w:rsid w:val="00390B72"/>
    <w:rsid w:val="003A01D6"/>
    <w:rsid w:val="003A4D17"/>
    <w:rsid w:val="003A54D9"/>
    <w:rsid w:val="003B13B3"/>
    <w:rsid w:val="003C7D62"/>
    <w:rsid w:val="003D0A57"/>
    <w:rsid w:val="003D62C8"/>
    <w:rsid w:val="003E06A1"/>
    <w:rsid w:val="003E32A6"/>
    <w:rsid w:val="003E466D"/>
    <w:rsid w:val="003F353D"/>
    <w:rsid w:val="003F7A90"/>
    <w:rsid w:val="00404CFB"/>
    <w:rsid w:val="00412D43"/>
    <w:rsid w:val="00413BE5"/>
    <w:rsid w:val="00416050"/>
    <w:rsid w:val="00432961"/>
    <w:rsid w:val="00433876"/>
    <w:rsid w:val="0043575F"/>
    <w:rsid w:val="00437B96"/>
    <w:rsid w:val="00441CFD"/>
    <w:rsid w:val="00443A9C"/>
    <w:rsid w:val="00447840"/>
    <w:rsid w:val="00451DFC"/>
    <w:rsid w:val="004523E9"/>
    <w:rsid w:val="00456E9E"/>
    <w:rsid w:val="00456F70"/>
    <w:rsid w:val="00470259"/>
    <w:rsid w:val="00474A72"/>
    <w:rsid w:val="004807FF"/>
    <w:rsid w:val="00484FA3"/>
    <w:rsid w:val="00485E48"/>
    <w:rsid w:val="00496284"/>
    <w:rsid w:val="004A51BF"/>
    <w:rsid w:val="004A5AF9"/>
    <w:rsid w:val="004A7AB2"/>
    <w:rsid w:val="004E0A04"/>
    <w:rsid w:val="004F0B09"/>
    <w:rsid w:val="00500B71"/>
    <w:rsid w:val="00511C58"/>
    <w:rsid w:val="00523C5E"/>
    <w:rsid w:val="005273C5"/>
    <w:rsid w:val="00532919"/>
    <w:rsid w:val="00534141"/>
    <w:rsid w:val="005379D8"/>
    <w:rsid w:val="005459EB"/>
    <w:rsid w:val="005648A7"/>
    <w:rsid w:val="005719FC"/>
    <w:rsid w:val="00572F13"/>
    <w:rsid w:val="005730F3"/>
    <w:rsid w:val="00584F31"/>
    <w:rsid w:val="00587626"/>
    <w:rsid w:val="005971E3"/>
    <w:rsid w:val="00597747"/>
    <w:rsid w:val="005A0F7A"/>
    <w:rsid w:val="005A1F41"/>
    <w:rsid w:val="005A5FAC"/>
    <w:rsid w:val="005A6E15"/>
    <w:rsid w:val="005B07CC"/>
    <w:rsid w:val="005C50BD"/>
    <w:rsid w:val="005D18CE"/>
    <w:rsid w:val="005E134A"/>
    <w:rsid w:val="005E3CF9"/>
    <w:rsid w:val="005E558F"/>
    <w:rsid w:val="006136AF"/>
    <w:rsid w:val="00617ECB"/>
    <w:rsid w:val="00620DD1"/>
    <w:rsid w:val="00625DAF"/>
    <w:rsid w:val="0063396A"/>
    <w:rsid w:val="006371DD"/>
    <w:rsid w:val="0065095A"/>
    <w:rsid w:val="006532D9"/>
    <w:rsid w:val="00654A56"/>
    <w:rsid w:val="00660673"/>
    <w:rsid w:val="00664DEE"/>
    <w:rsid w:val="00667841"/>
    <w:rsid w:val="006764C4"/>
    <w:rsid w:val="00677915"/>
    <w:rsid w:val="00681648"/>
    <w:rsid w:val="0068419E"/>
    <w:rsid w:val="0069141A"/>
    <w:rsid w:val="00694B42"/>
    <w:rsid w:val="006A2131"/>
    <w:rsid w:val="006A3663"/>
    <w:rsid w:val="006A6431"/>
    <w:rsid w:val="006B40B8"/>
    <w:rsid w:val="006B4452"/>
    <w:rsid w:val="006B6721"/>
    <w:rsid w:val="006C6312"/>
    <w:rsid w:val="006D1D81"/>
    <w:rsid w:val="006D4384"/>
    <w:rsid w:val="006D594D"/>
    <w:rsid w:val="006D7B7E"/>
    <w:rsid w:val="006F531B"/>
    <w:rsid w:val="007005AC"/>
    <w:rsid w:val="007217C1"/>
    <w:rsid w:val="007220D9"/>
    <w:rsid w:val="007279B6"/>
    <w:rsid w:val="00732A33"/>
    <w:rsid w:val="00733388"/>
    <w:rsid w:val="00735E27"/>
    <w:rsid w:val="007364E4"/>
    <w:rsid w:val="00743B17"/>
    <w:rsid w:val="00744E69"/>
    <w:rsid w:val="00746FA4"/>
    <w:rsid w:val="00757907"/>
    <w:rsid w:val="007630FC"/>
    <w:rsid w:val="00764DF1"/>
    <w:rsid w:val="00777B9A"/>
    <w:rsid w:val="007909DF"/>
    <w:rsid w:val="007969BE"/>
    <w:rsid w:val="007A2288"/>
    <w:rsid w:val="007A29E5"/>
    <w:rsid w:val="007A4793"/>
    <w:rsid w:val="007B7367"/>
    <w:rsid w:val="007C6108"/>
    <w:rsid w:val="007E4107"/>
    <w:rsid w:val="00801688"/>
    <w:rsid w:val="0080606A"/>
    <w:rsid w:val="00806AF5"/>
    <w:rsid w:val="00806E1E"/>
    <w:rsid w:val="008119DE"/>
    <w:rsid w:val="0081202B"/>
    <w:rsid w:val="008167F0"/>
    <w:rsid w:val="0081784B"/>
    <w:rsid w:val="00821B8E"/>
    <w:rsid w:val="00827F25"/>
    <w:rsid w:val="0084016F"/>
    <w:rsid w:val="008402D4"/>
    <w:rsid w:val="00844B75"/>
    <w:rsid w:val="008477B5"/>
    <w:rsid w:val="00853859"/>
    <w:rsid w:val="0086416D"/>
    <w:rsid w:val="00867143"/>
    <w:rsid w:val="00874586"/>
    <w:rsid w:val="0088229B"/>
    <w:rsid w:val="00884705"/>
    <w:rsid w:val="00890148"/>
    <w:rsid w:val="008937C0"/>
    <w:rsid w:val="008A2ACE"/>
    <w:rsid w:val="008B0885"/>
    <w:rsid w:val="008B0E5B"/>
    <w:rsid w:val="008B1B4F"/>
    <w:rsid w:val="008B552B"/>
    <w:rsid w:val="008B5DB4"/>
    <w:rsid w:val="008B7149"/>
    <w:rsid w:val="008B773C"/>
    <w:rsid w:val="008C3577"/>
    <w:rsid w:val="008C3DB3"/>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7C49"/>
    <w:rsid w:val="00945D61"/>
    <w:rsid w:val="00947F52"/>
    <w:rsid w:val="009612FE"/>
    <w:rsid w:val="00962286"/>
    <w:rsid w:val="00974703"/>
    <w:rsid w:val="0097774A"/>
    <w:rsid w:val="00986E36"/>
    <w:rsid w:val="009924EA"/>
    <w:rsid w:val="00994BE4"/>
    <w:rsid w:val="009A0CFB"/>
    <w:rsid w:val="009A5563"/>
    <w:rsid w:val="009A5FD2"/>
    <w:rsid w:val="009A7361"/>
    <w:rsid w:val="009B5EED"/>
    <w:rsid w:val="009B6393"/>
    <w:rsid w:val="009C4071"/>
    <w:rsid w:val="009C76A5"/>
    <w:rsid w:val="009E2B0F"/>
    <w:rsid w:val="009F64D6"/>
    <w:rsid w:val="00A02D6C"/>
    <w:rsid w:val="00A06F54"/>
    <w:rsid w:val="00A14FAA"/>
    <w:rsid w:val="00A16794"/>
    <w:rsid w:val="00A236F2"/>
    <w:rsid w:val="00A36537"/>
    <w:rsid w:val="00A36DDA"/>
    <w:rsid w:val="00A37A45"/>
    <w:rsid w:val="00A41E9C"/>
    <w:rsid w:val="00A4474A"/>
    <w:rsid w:val="00A459C2"/>
    <w:rsid w:val="00A50415"/>
    <w:rsid w:val="00A604AC"/>
    <w:rsid w:val="00A65B02"/>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1ED5"/>
    <w:rsid w:val="00B42F27"/>
    <w:rsid w:val="00B4423C"/>
    <w:rsid w:val="00B44710"/>
    <w:rsid w:val="00B50DEE"/>
    <w:rsid w:val="00B5668D"/>
    <w:rsid w:val="00B56BDD"/>
    <w:rsid w:val="00B57B13"/>
    <w:rsid w:val="00B61635"/>
    <w:rsid w:val="00B74456"/>
    <w:rsid w:val="00B80110"/>
    <w:rsid w:val="00B91C4E"/>
    <w:rsid w:val="00BA3217"/>
    <w:rsid w:val="00BB038E"/>
    <w:rsid w:val="00BB07D4"/>
    <w:rsid w:val="00BB59BD"/>
    <w:rsid w:val="00BB6F4C"/>
    <w:rsid w:val="00BC2868"/>
    <w:rsid w:val="00BD0552"/>
    <w:rsid w:val="00BD0E1F"/>
    <w:rsid w:val="00BE65CE"/>
    <w:rsid w:val="00BF2C64"/>
    <w:rsid w:val="00C0045B"/>
    <w:rsid w:val="00C01CBF"/>
    <w:rsid w:val="00C036C8"/>
    <w:rsid w:val="00C04F82"/>
    <w:rsid w:val="00C07C1E"/>
    <w:rsid w:val="00C07D7B"/>
    <w:rsid w:val="00C131AB"/>
    <w:rsid w:val="00C13F0A"/>
    <w:rsid w:val="00C261B0"/>
    <w:rsid w:val="00C26A42"/>
    <w:rsid w:val="00C37BB6"/>
    <w:rsid w:val="00C45557"/>
    <w:rsid w:val="00C475BC"/>
    <w:rsid w:val="00C50F66"/>
    <w:rsid w:val="00C63D90"/>
    <w:rsid w:val="00C81910"/>
    <w:rsid w:val="00C856FD"/>
    <w:rsid w:val="00C87170"/>
    <w:rsid w:val="00CA2DD3"/>
    <w:rsid w:val="00CB21F5"/>
    <w:rsid w:val="00CC274D"/>
    <w:rsid w:val="00CD2FB5"/>
    <w:rsid w:val="00CD3817"/>
    <w:rsid w:val="00CD3D87"/>
    <w:rsid w:val="00CD3FA9"/>
    <w:rsid w:val="00CE0852"/>
    <w:rsid w:val="00CE0BCD"/>
    <w:rsid w:val="00CE2A65"/>
    <w:rsid w:val="00CF68AD"/>
    <w:rsid w:val="00CF6A42"/>
    <w:rsid w:val="00D03775"/>
    <w:rsid w:val="00D04BD8"/>
    <w:rsid w:val="00D20E48"/>
    <w:rsid w:val="00D24ED7"/>
    <w:rsid w:val="00D37A47"/>
    <w:rsid w:val="00D4023E"/>
    <w:rsid w:val="00D45022"/>
    <w:rsid w:val="00D52002"/>
    <w:rsid w:val="00D540D2"/>
    <w:rsid w:val="00D61F2F"/>
    <w:rsid w:val="00D70E2F"/>
    <w:rsid w:val="00D90494"/>
    <w:rsid w:val="00D976BA"/>
    <w:rsid w:val="00DA18D9"/>
    <w:rsid w:val="00DA2B52"/>
    <w:rsid w:val="00DA7E6B"/>
    <w:rsid w:val="00DB64D8"/>
    <w:rsid w:val="00DC1799"/>
    <w:rsid w:val="00DC572C"/>
    <w:rsid w:val="00DD30C7"/>
    <w:rsid w:val="00DD348D"/>
    <w:rsid w:val="00DD3722"/>
    <w:rsid w:val="00E03A3B"/>
    <w:rsid w:val="00E06FEB"/>
    <w:rsid w:val="00E12DC3"/>
    <w:rsid w:val="00E22467"/>
    <w:rsid w:val="00E260BE"/>
    <w:rsid w:val="00E30610"/>
    <w:rsid w:val="00E30D4A"/>
    <w:rsid w:val="00E4145C"/>
    <w:rsid w:val="00E44377"/>
    <w:rsid w:val="00E44D60"/>
    <w:rsid w:val="00E50D91"/>
    <w:rsid w:val="00E554A0"/>
    <w:rsid w:val="00E63B00"/>
    <w:rsid w:val="00E7750E"/>
    <w:rsid w:val="00E84126"/>
    <w:rsid w:val="00E84A5E"/>
    <w:rsid w:val="00E9083D"/>
    <w:rsid w:val="00E95E8C"/>
    <w:rsid w:val="00EA4AF3"/>
    <w:rsid w:val="00EB74EC"/>
    <w:rsid w:val="00EB79B4"/>
    <w:rsid w:val="00EC31AD"/>
    <w:rsid w:val="00EC5DB5"/>
    <w:rsid w:val="00EC701A"/>
    <w:rsid w:val="00ED7FBA"/>
    <w:rsid w:val="00EE041D"/>
    <w:rsid w:val="00EE724D"/>
    <w:rsid w:val="00F04BC8"/>
    <w:rsid w:val="00F04CD0"/>
    <w:rsid w:val="00F05BE6"/>
    <w:rsid w:val="00F20E24"/>
    <w:rsid w:val="00F2141B"/>
    <w:rsid w:val="00F30322"/>
    <w:rsid w:val="00F33BF5"/>
    <w:rsid w:val="00F34848"/>
    <w:rsid w:val="00F36BFB"/>
    <w:rsid w:val="00F379ED"/>
    <w:rsid w:val="00F41D66"/>
    <w:rsid w:val="00F44EFD"/>
    <w:rsid w:val="00F4509A"/>
    <w:rsid w:val="00F522DD"/>
    <w:rsid w:val="00F52B5E"/>
    <w:rsid w:val="00F52E35"/>
    <w:rsid w:val="00F55805"/>
    <w:rsid w:val="00F559AA"/>
    <w:rsid w:val="00F57A99"/>
    <w:rsid w:val="00F617CE"/>
    <w:rsid w:val="00F64B79"/>
    <w:rsid w:val="00F66A63"/>
    <w:rsid w:val="00F70AC0"/>
    <w:rsid w:val="00F877B5"/>
    <w:rsid w:val="00F90FF2"/>
    <w:rsid w:val="00F9109C"/>
    <w:rsid w:val="00F97D7C"/>
    <w:rsid w:val="00FA3494"/>
    <w:rsid w:val="00FA4CF3"/>
    <w:rsid w:val="00FB1B30"/>
    <w:rsid w:val="00FB30FB"/>
    <w:rsid w:val="00FB33BB"/>
    <w:rsid w:val="00FB3F31"/>
    <w:rsid w:val="00FB52B7"/>
    <w:rsid w:val="00FB6DAD"/>
    <w:rsid w:val="00FB7192"/>
    <w:rsid w:val="00FC3B53"/>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E401004"/>
  <w15:chartTrackingRefBased/>
  <w15:docId w15:val="{65FEC6BC-81AC-4E5B-BCB0-73B96456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rPr>
      <w:rFonts w:ascii="Arial" w:hAnsi="Arial"/>
      <w:sz w:val="24"/>
    </w:rPr>
  </w:style>
  <w:style w:type="paragraph" w:customStyle="1" w:styleId="ReturnAddress">
    <w:name w:val="Return Address"/>
    <w:basedOn w:val="Normal"/>
    <w:rsid w:val="00B34A15"/>
    <w:pPr>
      <w:overflowPunct w:val="0"/>
      <w:autoSpaceDE w:val="0"/>
      <w:autoSpaceDN w:val="0"/>
      <w:adjustRightInd w:val="0"/>
      <w:textAlignment w:val="baseline"/>
    </w:pPr>
    <w:rPr>
      <w:rFonts w:ascii="Garamond" w:hAnsi="Garamond"/>
      <w:color w:val="008080"/>
      <w:sz w:val="16"/>
    </w:rPr>
  </w:style>
  <w:style w:type="paragraph" w:styleId="BodyText">
    <w:name w:val="Body Text"/>
    <w:basedOn w:val="Normal"/>
    <w:link w:val="BodyTextChar"/>
    <w:rsid w:val="00764DF1"/>
    <w:pPr>
      <w:spacing w:after="220" w:line="220" w:lineRule="atLeast"/>
      <w:ind w:left="835"/>
    </w:pPr>
  </w:style>
  <w:style w:type="character" w:customStyle="1" w:styleId="BodyTextChar">
    <w:name w:val="Body Text Char"/>
    <w:basedOn w:val="DefaultParagraphFont"/>
    <w:link w:val="BodyText"/>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paragraph" w:customStyle="1" w:styleId="HELV10">
    <w:name w:val="HELV10"/>
    <w:basedOn w:val="Normal"/>
    <w:rsid w:val="00BF2C64"/>
    <w:rPr>
      <w:rFonts w:ascii="Helvetica" w:hAnsi="Helvetica"/>
    </w:rPr>
  </w:style>
  <w:style w:type="character" w:styleId="Hyperlink">
    <w:name w:val="Hyperlink"/>
    <w:basedOn w:val="DefaultParagraphFont"/>
    <w:uiPriority w:val="99"/>
    <w:unhideWhenUsed/>
    <w:rsid w:val="00BF2C64"/>
    <w:rPr>
      <w:color w:val="0563C1" w:themeColor="hyperlink"/>
      <w:u w:val="single"/>
    </w:rPr>
  </w:style>
  <w:style w:type="paragraph" w:styleId="Revision">
    <w:name w:val="Revision"/>
    <w:hidden/>
    <w:uiPriority w:val="99"/>
    <w:semiHidden/>
    <w:rsid w:val="00F57A99"/>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67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goundie@main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gov/dep/project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erek.DeCastro@maine.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2532</Characters>
  <Application>Microsoft Office Word</Application>
  <DocSecurity>12</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hearing regarding Aries Pine Tree LLC license applications</dc:title>
  <dc:subject/>
  <dc:creator>Author2</dc:creator>
  <cp:keywords/>
  <dc:description/>
  <cp:lastModifiedBy>Chase, Beth</cp:lastModifiedBy>
  <cp:revision>2</cp:revision>
  <dcterms:created xsi:type="dcterms:W3CDTF">2026-03-23T11:58:00Z</dcterms:created>
  <dcterms:modified xsi:type="dcterms:W3CDTF">2026-03-23T11:58:00Z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10ccf17b-ae92-4d9e-96dc-f1a20ad9e0a9</vt:lpwstr>
  </property>
</Properties>
</file>