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D1" w:rsidRP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6F1CD7">
        <w:rPr>
          <w:rFonts w:ascii="Times New Roman" w:hAnsi="Times New Roman" w:cs="Times New Roman"/>
          <w:b/>
          <w:sz w:val="22"/>
          <w:szCs w:val="22"/>
        </w:rPr>
        <w:t>10-144</w:t>
      </w:r>
      <w:r w:rsidRPr="006F1CD7">
        <w:rPr>
          <w:rFonts w:ascii="Times New Roman" w:hAnsi="Times New Roman" w:cs="Times New Roman"/>
          <w:b/>
          <w:sz w:val="22"/>
          <w:szCs w:val="22"/>
        </w:rPr>
        <w:tab/>
      </w:r>
      <w:r w:rsidRPr="006F1CD7">
        <w:rPr>
          <w:rFonts w:ascii="Times New Roman" w:hAnsi="Times New Roman" w:cs="Times New Roman"/>
          <w:b/>
          <w:sz w:val="22"/>
          <w:szCs w:val="22"/>
        </w:rPr>
        <w:tab/>
        <w:t>DEPAR</w:t>
      </w:r>
      <w:r w:rsidR="003702D1" w:rsidRPr="006F1CD7">
        <w:rPr>
          <w:rFonts w:ascii="Times New Roman" w:hAnsi="Times New Roman" w:cs="Times New Roman"/>
          <w:b/>
          <w:sz w:val="22"/>
          <w:szCs w:val="22"/>
        </w:rPr>
        <w:t>TMENT OF HEALTH AND HUMAN SERVICES</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6F1CD7">
        <w:rPr>
          <w:rFonts w:ascii="Times New Roman" w:hAnsi="Times New Roman" w:cs="Times New Roman"/>
          <w:b/>
          <w:sz w:val="22"/>
          <w:szCs w:val="22"/>
        </w:rPr>
        <w:tab/>
      </w:r>
      <w:r w:rsidRPr="006F1CD7">
        <w:rPr>
          <w:rFonts w:ascii="Times New Roman" w:hAnsi="Times New Roman" w:cs="Times New Roman"/>
          <w:b/>
          <w:sz w:val="22"/>
          <w:szCs w:val="22"/>
        </w:rPr>
        <w:tab/>
        <w:t>MAINE CENTER FOR DISEASE CONTROL AND PREVENTION</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i/>
          <w:sz w:val="22"/>
          <w:szCs w:val="22"/>
        </w:rPr>
      </w:pPr>
      <w:r w:rsidRPr="006F1CD7">
        <w:rPr>
          <w:rFonts w:ascii="Times New Roman" w:hAnsi="Times New Roman" w:cs="Times New Roman"/>
          <w:sz w:val="22"/>
          <w:szCs w:val="22"/>
        </w:rPr>
        <w:tab/>
      </w:r>
      <w:r w:rsidRPr="006F1CD7">
        <w:rPr>
          <w:rFonts w:ascii="Times New Roman" w:hAnsi="Times New Roman" w:cs="Times New Roman"/>
          <w:sz w:val="22"/>
          <w:szCs w:val="22"/>
        </w:rPr>
        <w:tab/>
      </w:r>
      <w:r w:rsidRPr="006F1CD7">
        <w:rPr>
          <w:rFonts w:ascii="Times New Roman" w:hAnsi="Times New Roman" w:cs="Times New Roman"/>
          <w:sz w:val="22"/>
          <w:szCs w:val="22"/>
        </w:rPr>
        <w:tab/>
      </w:r>
      <w:r w:rsidRPr="006F1CD7">
        <w:rPr>
          <w:rFonts w:ascii="Times New Roman" w:hAnsi="Times New Roman" w:cs="Times New Roman"/>
          <w:i/>
          <w:sz w:val="22"/>
          <w:szCs w:val="22"/>
        </w:rPr>
        <w:t>A joint rule with</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6F1CD7">
        <w:rPr>
          <w:rFonts w:ascii="Times New Roman" w:hAnsi="Times New Roman" w:cs="Times New Roman"/>
          <w:b/>
          <w:sz w:val="22"/>
          <w:szCs w:val="22"/>
        </w:rPr>
        <w:t>95-659</w:t>
      </w:r>
      <w:r w:rsidRPr="006F1CD7">
        <w:rPr>
          <w:rFonts w:ascii="Times New Roman" w:hAnsi="Times New Roman" w:cs="Times New Roman"/>
          <w:b/>
          <w:sz w:val="22"/>
          <w:szCs w:val="22"/>
        </w:rPr>
        <w:tab/>
      </w:r>
      <w:r w:rsidRPr="006F1CD7">
        <w:rPr>
          <w:rFonts w:ascii="Times New Roman" w:hAnsi="Times New Roman" w:cs="Times New Roman"/>
          <w:b/>
          <w:sz w:val="22"/>
          <w:szCs w:val="22"/>
        </w:rPr>
        <w:tab/>
        <w:t>THE MAINE VACCINE BOARD</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6F1CD7">
        <w:rPr>
          <w:rFonts w:ascii="Times New Roman" w:hAnsi="Times New Roman" w:cs="Times New Roman"/>
          <w:b/>
          <w:sz w:val="22"/>
          <w:szCs w:val="22"/>
        </w:rPr>
        <w:t>Chapter 248:</w:t>
      </w:r>
      <w:r w:rsidRPr="006F1CD7">
        <w:rPr>
          <w:rFonts w:ascii="Times New Roman" w:hAnsi="Times New Roman" w:cs="Times New Roman"/>
          <w:b/>
          <w:sz w:val="22"/>
          <w:szCs w:val="22"/>
        </w:rPr>
        <w:tab/>
        <w:t>LIST OF VACCINES TO BE PROVIDED BY THE UNIVERSAL CHILDHOOD IMMUNIZATION PROGRAM</w:t>
      </w:r>
    </w:p>
    <w:p w:rsidR="003702D1" w:rsidRPr="006F1CD7" w:rsidRDefault="003702D1" w:rsidP="006F1CD7">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6F1CD7">
        <w:rPr>
          <w:rFonts w:ascii="Times New Roman" w:hAnsi="Times New Roman" w:cs="Times New Roman"/>
          <w:b/>
          <w:sz w:val="22"/>
          <w:szCs w:val="22"/>
        </w:rPr>
        <w:t>Summary</w:t>
      </w:r>
      <w:r w:rsidRPr="006F1CD7">
        <w:rPr>
          <w:rFonts w:ascii="Times New Roman" w:hAnsi="Times New Roman" w:cs="Times New Roman"/>
          <w:sz w:val="22"/>
          <w:szCs w:val="22"/>
        </w:rPr>
        <w:t xml:space="preserve">: This rule is issued jointly between the Department of Health and Human Services and the Maine Vaccine Board, to implement the provisions of P.L. 2009, c. 595, </w:t>
      </w:r>
      <w:r w:rsidRPr="006F1CD7">
        <w:rPr>
          <w:rFonts w:ascii="Times New Roman" w:hAnsi="Times New Roman" w:cs="Times New Roman"/>
          <w:i/>
          <w:sz w:val="22"/>
          <w:szCs w:val="22"/>
        </w:rPr>
        <w:t>An Act to Establish the Universal Childhood Immunization Program</w:t>
      </w:r>
      <w:r w:rsidRPr="006F1CD7">
        <w:rPr>
          <w:rFonts w:ascii="Times New Roman" w:hAnsi="Times New Roman" w:cs="Times New Roman"/>
          <w:sz w:val="22"/>
          <w:szCs w:val="22"/>
        </w:rPr>
        <w:t xml:space="preserve"> (22 M.R.S.A. §1066). It lists the vaccines to be provided by the Universal Childhood Immunization Program.</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6F1CD7">
        <w:rPr>
          <w:rFonts w:ascii="Times New Roman" w:hAnsi="Times New Roman" w:cs="Times New Roman"/>
          <w:sz w:val="22"/>
          <w:szCs w:val="22"/>
        </w:rPr>
        <w:t>By statute, the Department of Health and Human Services and the Maine Vaccine Board are required to</w:t>
      </w:r>
      <w:r w:rsidR="006F1CD7">
        <w:rPr>
          <w:rFonts w:ascii="Times New Roman" w:hAnsi="Times New Roman" w:cs="Times New Roman"/>
          <w:sz w:val="22"/>
          <w:szCs w:val="22"/>
        </w:rPr>
        <w:t xml:space="preserve"> </w:t>
      </w:r>
      <w:r w:rsidRPr="006F1CD7">
        <w:rPr>
          <w:rFonts w:ascii="Times New Roman" w:hAnsi="Times New Roman" w:cs="Times New Roman"/>
          <w:sz w:val="22"/>
          <w:szCs w:val="22"/>
        </w:rPr>
        <w:t>determine a list of vaccines to be provided by the Universal Childhood Immunization Program each year. In determining this list, the Board has considered: (1) vaccines recommended by the Advisory Committee on Immunization Practices of the United States Department of Health and Human Services, Centers for Disease Control and Prevention (“Advisory Committee”) that are available under contract with the United States Department of Health and Human Services, Centers for Disease Control and Prevention; (2) recommendations of the Department, based on the Department's review of the advisory committee recommendations; and (3) clinical and cost-benefit analyses.</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6F1CD7">
        <w:rPr>
          <w:rFonts w:ascii="Times New Roman" w:hAnsi="Times New Roman" w:cs="Times New Roman"/>
          <w:sz w:val="22"/>
          <w:szCs w:val="22"/>
        </w:rPr>
        <w:t>The vaccine list along with estimates of population/age cohorts, estimates of current and expected immunization rates, and projections of vaccine wastage will form the basis of the Board’s determination of the total cost of the fund in the succeeding program year.</w:t>
      </w:r>
    </w:p>
    <w:p w:rsidR="003702D1" w:rsidRPr="006F1CD7" w:rsidRDefault="003702D1" w:rsidP="006F1CD7">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6F1CD7">
        <w:rPr>
          <w:rFonts w:ascii="Times New Roman" w:hAnsi="Times New Roman" w:cs="Times New Roman"/>
          <w:b/>
          <w:sz w:val="22"/>
          <w:szCs w:val="22"/>
        </w:rPr>
        <w:t>I.</w:t>
      </w:r>
      <w:r w:rsidRPr="006F1CD7">
        <w:rPr>
          <w:rFonts w:ascii="Times New Roman" w:hAnsi="Times New Roman" w:cs="Times New Roman"/>
          <w:b/>
          <w:sz w:val="22"/>
          <w:szCs w:val="22"/>
        </w:rPr>
        <w:tab/>
        <w:t>Definitions</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F1CD7">
        <w:rPr>
          <w:rFonts w:ascii="Times New Roman" w:hAnsi="Times New Roman" w:cs="Times New Roman"/>
          <w:sz w:val="22"/>
          <w:szCs w:val="22"/>
        </w:rPr>
        <w:t>A.</w:t>
      </w:r>
      <w:r w:rsidRPr="006F1CD7">
        <w:rPr>
          <w:rFonts w:ascii="Times New Roman" w:hAnsi="Times New Roman" w:cs="Times New Roman"/>
          <w:sz w:val="22"/>
          <w:szCs w:val="22"/>
        </w:rPr>
        <w:tab/>
        <w:t>“Advisory Committee” means the Advisory Committee on Immunization Practices (ACIP) of the U.S. Department of Health and Human Services, Centers for Disease Control and Prevention.</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6F1CD7">
        <w:rPr>
          <w:rFonts w:ascii="Times New Roman" w:hAnsi="Times New Roman" w:cs="Times New Roman"/>
          <w:sz w:val="22"/>
          <w:szCs w:val="22"/>
        </w:rPr>
        <w:t>B.</w:t>
      </w:r>
      <w:r w:rsidRPr="006F1CD7">
        <w:rPr>
          <w:rFonts w:ascii="Times New Roman" w:hAnsi="Times New Roman" w:cs="Times New Roman"/>
          <w:sz w:val="22"/>
          <w:szCs w:val="22"/>
        </w:rPr>
        <w:tab/>
        <w:t>“Board” means the Maine Vaccine Board.</w:t>
      </w:r>
    </w:p>
    <w:p w:rsidR="003702D1" w:rsidRPr="006F1CD7" w:rsidRDefault="003702D1" w:rsidP="006F1CD7">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6F1CD7">
        <w:rPr>
          <w:rFonts w:ascii="Times New Roman" w:hAnsi="Times New Roman" w:cs="Times New Roman"/>
          <w:sz w:val="22"/>
          <w:szCs w:val="22"/>
        </w:rPr>
        <w:t>C.</w:t>
      </w:r>
      <w:r w:rsidRPr="006F1CD7">
        <w:rPr>
          <w:rFonts w:ascii="Times New Roman" w:hAnsi="Times New Roman" w:cs="Times New Roman"/>
          <w:sz w:val="22"/>
          <w:szCs w:val="22"/>
        </w:rPr>
        <w:tab/>
        <w:t>“Department” means the Maine Department of Health and Human Services.</w:t>
      </w:r>
    </w:p>
    <w:p w:rsidR="003702D1" w:rsidRPr="006F1CD7" w:rsidRDefault="003702D1" w:rsidP="006F1CD7">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6F1CD7">
        <w:rPr>
          <w:rFonts w:ascii="Times New Roman" w:hAnsi="Times New Roman" w:cs="Times New Roman"/>
          <w:sz w:val="22"/>
          <w:szCs w:val="22"/>
        </w:rPr>
        <w:t>D.</w:t>
      </w:r>
      <w:r w:rsidRPr="006F1CD7">
        <w:rPr>
          <w:rFonts w:ascii="Times New Roman" w:hAnsi="Times New Roman" w:cs="Times New Roman"/>
          <w:sz w:val="22"/>
          <w:szCs w:val="22"/>
        </w:rPr>
        <w:tab/>
        <w:t>“Program” means the Universal Childhood Immunization Program</w:t>
      </w:r>
    </w:p>
    <w:p w:rsidR="003702D1" w:rsidRPr="006F1CD7" w:rsidRDefault="003702D1" w:rsidP="006F1CD7">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6F1CD7">
        <w:rPr>
          <w:rFonts w:ascii="Times New Roman" w:hAnsi="Times New Roman" w:cs="Times New Roman"/>
          <w:sz w:val="22"/>
          <w:szCs w:val="22"/>
        </w:rPr>
        <w:t>E.</w:t>
      </w:r>
      <w:r w:rsidRPr="006F1CD7">
        <w:rPr>
          <w:rFonts w:ascii="Times New Roman" w:hAnsi="Times New Roman" w:cs="Times New Roman"/>
          <w:sz w:val="22"/>
          <w:szCs w:val="22"/>
        </w:rPr>
        <w:tab/>
        <w:t>“Program Year” means July 1st through June 30th of each year</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keepNext/>
        <w:keepLines/>
        <w:tabs>
          <w:tab w:val="left" w:pos="720"/>
          <w:tab w:val="left" w:pos="1440"/>
          <w:tab w:val="left" w:pos="2160"/>
          <w:tab w:val="left" w:pos="2880"/>
          <w:tab w:val="left" w:pos="3600"/>
          <w:tab w:val="left" w:pos="4320"/>
        </w:tabs>
        <w:rPr>
          <w:rFonts w:ascii="Times New Roman" w:hAnsi="Times New Roman" w:cs="Times New Roman"/>
          <w:b/>
          <w:sz w:val="22"/>
          <w:szCs w:val="22"/>
        </w:rPr>
      </w:pPr>
      <w:r w:rsidRPr="006F1CD7">
        <w:rPr>
          <w:rFonts w:ascii="Times New Roman" w:hAnsi="Times New Roman" w:cs="Times New Roman"/>
          <w:b/>
          <w:sz w:val="22"/>
          <w:szCs w:val="22"/>
        </w:rPr>
        <w:lastRenderedPageBreak/>
        <w:t>II.</w:t>
      </w:r>
      <w:r w:rsidRPr="006F1CD7">
        <w:rPr>
          <w:rFonts w:ascii="Times New Roman" w:hAnsi="Times New Roman" w:cs="Times New Roman"/>
          <w:b/>
          <w:sz w:val="22"/>
          <w:szCs w:val="22"/>
        </w:rPr>
        <w:tab/>
        <w:t>Annual Uniform Vaccine List</w:t>
      </w:r>
    </w:p>
    <w:p w:rsidR="003702D1" w:rsidRPr="006F1CD7" w:rsidRDefault="003702D1" w:rsidP="006F1CD7">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keepNext/>
        <w:keepLines/>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F1CD7">
        <w:rPr>
          <w:rFonts w:ascii="Times New Roman" w:hAnsi="Times New Roman" w:cs="Times New Roman"/>
          <w:sz w:val="22"/>
          <w:szCs w:val="22"/>
        </w:rPr>
        <w:t>A.</w:t>
      </w:r>
      <w:r w:rsidRPr="006F1CD7">
        <w:rPr>
          <w:rFonts w:ascii="Times New Roman" w:hAnsi="Times New Roman" w:cs="Times New Roman"/>
          <w:sz w:val="22"/>
          <w:szCs w:val="22"/>
        </w:rPr>
        <w:tab/>
        <w:t>No later than January 1st of each year, the Board shall annually determine the list of childhood vaccines to be made available by the Program during the program year commencing the following July 1st.</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6F1CD7">
        <w:rPr>
          <w:rFonts w:ascii="Times New Roman" w:hAnsi="Times New Roman" w:cs="Times New Roman"/>
          <w:sz w:val="22"/>
          <w:szCs w:val="22"/>
        </w:rPr>
        <w:t>B.</w:t>
      </w:r>
      <w:r w:rsidRPr="006F1CD7">
        <w:rPr>
          <w:rFonts w:ascii="Times New Roman" w:hAnsi="Times New Roman" w:cs="Times New Roman"/>
          <w:sz w:val="22"/>
          <w:szCs w:val="22"/>
        </w:rPr>
        <w:tab/>
        <w:t>In determining the list of vaccines, the Board shall consider the following:</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F1CD7">
        <w:rPr>
          <w:rFonts w:ascii="Times New Roman" w:hAnsi="Times New Roman" w:cs="Times New Roman"/>
          <w:sz w:val="22"/>
          <w:szCs w:val="22"/>
        </w:rPr>
        <w:t>1.</w:t>
      </w:r>
      <w:r w:rsidRPr="006F1CD7">
        <w:rPr>
          <w:rFonts w:ascii="Times New Roman" w:hAnsi="Times New Roman" w:cs="Times New Roman"/>
          <w:sz w:val="22"/>
          <w:szCs w:val="22"/>
        </w:rPr>
        <w:tab/>
      </w:r>
      <w:proofErr w:type="gramStart"/>
      <w:r w:rsidRPr="006F1CD7">
        <w:rPr>
          <w:rFonts w:ascii="Times New Roman" w:hAnsi="Times New Roman" w:cs="Times New Roman"/>
          <w:sz w:val="22"/>
          <w:szCs w:val="22"/>
        </w:rPr>
        <w:t>the</w:t>
      </w:r>
      <w:proofErr w:type="gramEnd"/>
      <w:r w:rsidRPr="006F1CD7">
        <w:rPr>
          <w:rFonts w:ascii="Times New Roman" w:hAnsi="Times New Roman" w:cs="Times New Roman"/>
          <w:sz w:val="22"/>
          <w:szCs w:val="22"/>
        </w:rPr>
        <w:t xml:space="preserve"> recommendations of the Advisory Committee relating to vaccines which are available to the Program under contract with the U.S. Department of Health and Human Services, Centers for Disease Control and Prevention;</w:t>
      </w:r>
    </w:p>
    <w:p w:rsidR="003702D1" w:rsidRPr="006F1CD7" w:rsidRDefault="003702D1" w:rsidP="006F1CD7">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F1CD7">
        <w:rPr>
          <w:rFonts w:ascii="Times New Roman" w:hAnsi="Times New Roman" w:cs="Times New Roman"/>
          <w:sz w:val="22"/>
          <w:szCs w:val="22"/>
        </w:rPr>
        <w:t>2.</w:t>
      </w:r>
      <w:r w:rsidRPr="006F1CD7">
        <w:rPr>
          <w:rFonts w:ascii="Times New Roman" w:hAnsi="Times New Roman" w:cs="Times New Roman"/>
          <w:sz w:val="22"/>
          <w:szCs w:val="22"/>
        </w:rPr>
        <w:tab/>
      </w:r>
      <w:proofErr w:type="gramStart"/>
      <w:r w:rsidRPr="006F1CD7">
        <w:rPr>
          <w:rFonts w:ascii="Times New Roman" w:hAnsi="Times New Roman" w:cs="Times New Roman"/>
          <w:sz w:val="22"/>
          <w:szCs w:val="22"/>
        </w:rPr>
        <w:t>the</w:t>
      </w:r>
      <w:proofErr w:type="gramEnd"/>
      <w:r w:rsidRPr="006F1CD7">
        <w:rPr>
          <w:rFonts w:ascii="Times New Roman" w:hAnsi="Times New Roman" w:cs="Times New Roman"/>
          <w:sz w:val="22"/>
          <w:szCs w:val="22"/>
        </w:rPr>
        <w:t xml:space="preserve"> recommendations of the Department, based upon the Department’s review of the Advisory Committee recommendations; and</w:t>
      </w:r>
    </w:p>
    <w:p w:rsidR="003702D1" w:rsidRPr="006F1CD7" w:rsidRDefault="003702D1" w:rsidP="006F1CD7">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F1CD7">
        <w:rPr>
          <w:rFonts w:ascii="Times New Roman" w:hAnsi="Times New Roman" w:cs="Times New Roman"/>
          <w:sz w:val="22"/>
          <w:szCs w:val="22"/>
        </w:rPr>
        <w:t>3.</w:t>
      </w:r>
      <w:r w:rsidRPr="006F1CD7">
        <w:rPr>
          <w:rFonts w:ascii="Times New Roman" w:hAnsi="Times New Roman" w:cs="Times New Roman"/>
          <w:sz w:val="22"/>
          <w:szCs w:val="22"/>
        </w:rPr>
        <w:tab/>
      </w:r>
      <w:proofErr w:type="gramStart"/>
      <w:r w:rsidRPr="006F1CD7">
        <w:rPr>
          <w:rFonts w:ascii="Times New Roman" w:hAnsi="Times New Roman" w:cs="Times New Roman"/>
          <w:sz w:val="22"/>
          <w:szCs w:val="22"/>
        </w:rPr>
        <w:t>clinical</w:t>
      </w:r>
      <w:proofErr w:type="gramEnd"/>
      <w:r w:rsidRPr="006F1CD7">
        <w:rPr>
          <w:rFonts w:ascii="Times New Roman" w:hAnsi="Times New Roman" w:cs="Times New Roman"/>
          <w:sz w:val="22"/>
          <w:szCs w:val="22"/>
        </w:rPr>
        <w:t xml:space="preserve"> and cost-benefit analysis relating to potential vaccines to be included on the list of pediatric vaccines.</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6F1CD7">
        <w:rPr>
          <w:rFonts w:ascii="Times New Roman" w:hAnsi="Times New Roman" w:cs="Times New Roman"/>
          <w:b/>
          <w:sz w:val="22"/>
          <w:szCs w:val="22"/>
        </w:rPr>
        <w:t>III.</w:t>
      </w:r>
      <w:r w:rsidRPr="006F1CD7">
        <w:rPr>
          <w:rFonts w:ascii="Times New Roman" w:hAnsi="Times New Roman" w:cs="Times New Roman"/>
          <w:b/>
          <w:sz w:val="22"/>
          <w:szCs w:val="22"/>
        </w:rPr>
        <w:tab/>
        <w:t>Authorized List of Uniform Childhood Vaccines</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F1CD7">
        <w:rPr>
          <w:rFonts w:ascii="Times New Roman" w:hAnsi="Times New Roman" w:cs="Times New Roman"/>
          <w:sz w:val="22"/>
          <w:szCs w:val="22"/>
        </w:rPr>
        <w:t>A.</w:t>
      </w:r>
      <w:r w:rsidRPr="006F1CD7">
        <w:rPr>
          <w:rFonts w:ascii="Times New Roman" w:hAnsi="Times New Roman" w:cs="Times New Roman"/>
          <w:sz w:val="22"/>
          <w:szCs w:val="22"/>
        </w:rPr>
        <w:tab/>
      </w:r>
      <w:r w:rsidRPr="006F1CD7">
        <w:rPr>
          <w:rFonts w:ascii="Times New Roman" w:hAnsi="Times New Roman" w:cs="Times New Roman"/>
          <w:b/>
          <w:sz w:val="22"/>
          <w:szCs w:val="22"/>
        </w:rPr>
        <w:t>2011 Base Year</w:t>
      </w:r>
      <w:r w:rsidRPr="006F1CD7">
        <w:rPr>
          <w:rFonts w:ascii="Times New Roman" w:hAnsi="Times New Roman" w:cs="Times New Roman"/>
          <w:sz w:val="22"/>
          <w:szCs w:val="22"/>
        </w:rPr>
        <w:t>. For the program year commencing on July 1, 2011, the following childhood vaccines shall be available under the Program:</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sidRPr="006F1CD7">
        <w:rPr>
          <w:rFonts w:ascii="Times New Roman" w:hAnsi="Times New Roman" w:cs="Times New Roman"/>
          <w:sz w:val="22"/>
          <w:szCs w:val="22"/>
        </w:rPr>
        <w:t>1.</w:t>
      </w:r>
      <w:r w:rsidRPr="006F1CD7">
        <w:rPr>
          <w:rFonts w:ascii="Times New Roman" w:hAnsi="Times New Roman" w:cs="Times New Roman"/>
          <w:sz w:val="22"/>
          <w:szCs w:val="22"/>
        </w:rPr>
        <w:tab/>
      </w:r>
      <w:proofErr w:type="spellStart"/>
      <w:r w:rsidRPr="006F1CD7">
        <w:rPr>
          <w:rFonts w:ascii="Times New Roman" w:hAnsi="Times New Roman" w:cs="Times New Roman"/>
          <w:b/>
          <w:sz w:val="22"/>
          <w:szCs w:val="22"/>
        </w:rPr>
        <w:t>DTaP</w:t>
      </w:r>
      <w:proofErr w:type="spellEnd"/>
      <w:r w:rsidRPr="006F1CD7">
        <w:rPr>
          <w:rFonts w:ascii="Times New Roman" w:hAnsi="Times New Roman" w:cs="Times New Roman"/>
          <w:b/>
          <w:sz w:val="22"/>
          <w:szCs w:val="22"/>
        </w:rPr>
        <w:t xml:space="preserve"> Vaccines (Diphtheria, Tetanus, </w:t>
      </w:r>
      <w:proofErr w:type="spellStart"/>
      <w:r w:rsidRPr="006F1CD7">
        <w:rPr>
          <w:rFonts w:ascii="Times New Roman" w:hAnsi="Times New Roman" w:cs="Times New Roman"/>
          <w:b/>
          <w:sz w:val="22"/>
          <w:szCs w:val="22"/>
        </w:rPr>
        <w:t>acellular</w:t>
      </w:r>
      <w:proofErr w:type="spellEnd"/>
      <w:r w:rsidRPr="006F1CD7">
        <w:rPr>
          <w:rFonts w:ascii="Times New Roman" w:hAnsi="Times New Roman" w:cs="Times New Roman"/>
          <w:b/>
          <w:sz w:val="22"/>
          <w:szCs w:val="22"/>
        </w:rPr>
        <w:t xml:space="preserve"> Pertussis)</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F1CD7" w:rsidRDefault="003702D1" w:rsidP="006F1CD7">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Tripedia</w:t>
      </w:r>
      <w:proofErr w:type="spellEnd"/>
      <w:proofErr w:type="gramEnd"/>
      <w:r w:rsidRPr="006F1CD7">
        <w:rPr>
          <w:rFonts w:ascii="Times New Roman" w:hAnsi="Times New Roman" w:cs="Times New Roman"/>
          <w:sz w:val="22"/>
          <w:szCs w:val="22"/>
        </w:rPr>
        <w:t xml:space="preserve"> ® (</w:t>
      </w:r>
      <w:proofErr w:type="spellStart"/>
      <w:r w:rsidRPr="006F1CD7">
        <w:rPr>
          <w:rFonts w:ascii="Times New Roman" w:hAnsi="Times New Roman" w:cs="Times New Roman"/>
          <w:sz w:val="22"/>
          <w:szCs w:val="22"/>
        </w:rPr>
        <w:t>Sanofi</w:t>
      </w:r>
      <w:proofErr w:type="spellEnd"/>
      <w:r w:rsidRPr="006F1CD7">
        <w:rPr>
          <w:rFonts w:ascii="Times New Roman" w:hAnsi="Times New Roman" w:cs="Times New Roman"/>
          <w:sz w:val="22"/>
          <w:szCs w:val="22"/>
        </w:rPr>
        <w:t xml:space="preserve"> Pasteur)</w:t>
      </w:r>
    </w:p>
    <w:p w:rsidR="006F1CD7" w:rsidRDefault="006F1CD7" w:rsidP="006F1CD7">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6F1CD7" w:rsidRDefault="003702D1" w:rsidP="006F1CD7">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roofErr w:type="gramStart"/>
      <w:r w:rsidRPr="006F1CD7">
        <w:rPr>
          <w:rFonts w:ascii="Times New Roman" w:hAnsi="Times New Roman" w:cs="Times New Roman"/>
          <w:sz w:val="22"/>
          <w:szCs w:val="22"/>
        </w:rPr>
        <w:t>b.</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Daptacel</w:t>
      </w:r>
      <w:proofErr w:type="spellEnd"/>
      <w:proofErr w:type="gramEnd"/>
      <w:r w:rsidRPr="006F1CD7">
        <w:rPr>
          <w:rFonts w:ascii="Times New Roman" w:hAnsi="Times New Roman" w:cs="Times New Roman"/>
          <w:sz w:val="22"/>
          <w:szCs w:val="22"/>
        </w:rPr>
        <w:t xml:space="preserve"> ® (</w:t>
      </w:r>
      <w:proofErr w:type="spellStart"/>
      <w:r w:rsidRPr="006F1CD7">
        <w:rPr>
          <w:rFonts w:ascii="Times New Roman" w:hAnsi="Times New Roman" w:cs="Times New Roman"/>
          <w:sz w:val="22"/>
          <w:szCs w:val="22"/>
        </w:rPr>
        <w:t>Sanofi</w:t>
      </w:r>
      <w:proofErr w:type="spellEnd"/>
      <w:r w:rsidRPr="006F1CD7">
        <w:rPr>
          <w:rFonts w:ascii="Times New Roman" w:hAnsi="Times New Roman" w:cs="Times New Roman"/>
          <w:sz w:val="22"/>
          <w:szCs w:val="22"/>
        </w:rPr>
        <w:t xml:space="preserve"> Pasteur)</w:t>
      </w:r>
    </w:p>
    <w:p w:rsidR="006F1CD7" w:rsidRDefault="006F1CD7" w:rsidP="006F1CD7">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roofErr w:type="gramStart"/>
      <w:r w:rsidRPr="006F1CD7">
        <w:rPr>
          <w:rFonts w:ascii="Times New Roman" w:hAnsi="Times New Roman" w:cs="Times New Roman"/>
          <w:sz w:val="22"/>
          <w:szCs w:val="22"/>
        </w:rPr>
        <w:t>c.</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Infanrix</w:t>
      </w:r>
      <w:proofErr w:type="spellEnd"/>
      <w:proofErr w:type="gramEnd"/>
      <w:r w:rsidRPr="006F1CD7">
        <w:rPr>
          <w:rFonts w:ascii="Times New Roman" w:hAnsi="Times New Roman" w:cs="Times New Roman"/>
          <w:sz w:val="22"/>
          <w:szCs w:val="22"/>
        </w:rPr>
        <w:t xml:space="preserve"> ® (GSK)</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F1CD7">
        <w:rPr>
          <w:rFonts w:ascii="Times New Roman" w:hAnsi="Times New Roman" w:cs="Times New Roman"/>
          <w:sz w:val="22"/>
          <w:szCs w:val="22"/>
        </w:rPr>
        <w:t>2.</w:t>
      </w:r>
      <w:r w:rsidRPr="006F1CD7">
        <w:rPr>
          <w:rFonts w:ascii="Times New Roman" w:hAnsi="Times New Roman" w:cs="Times New Roman"/>
          <w:sz w:val="22"/>
          <w:szCs w:val="22"/>
        </w:rPr>
        <w:tab/>
      </w:r>
      <w:r w:rsidRPr="006F1CD7">
        <w:rPr>
          <w:rFonts w:ascii="Times New Roman" w:hAnsi="Times New Roman" w:cs="Times New Roman"/>
          <w:b/>
          <w:sz w:val="22"/>
          <w:szCs w:val="22"/>
        </w:rPr>
        <w:t>Hepatitis A Vaccines</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F1CD7" w:rsidRDefault="003702D1" w:rsidP="006F1CD7">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Vaqta</w:t>
      </w:r>
      <w:proofErr w:type="spellEnd"/>
      <w:proofErr w:type="gramEnd"/>
      <w:r w:rsidRPr="006F1CD7">
        <w:rPr>
          <w:rFonts w:ascii="Times New Roman" w:hAnsi="Times New Roman" w:cs="Times New Roman"/>
          <w:sz w:val="22"/>
          <w:szCs w:val="22"/>
        </w:rPr>
        <w:t xml:space="preserve"> ® (Merck)</w:t>
      </w:r>
    </w:p>
    <w:p w:rsidR="006F1CD7" w:rsidRDefault="006F1CD7" w:rsidP="006F1CD7">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roofErr w:type="gramStart"/>
      <w:r w:rsidRPr="006F1CD7">
        <w:rPr>
          <w:rFonts w:ascii="Times New Roman" w:hAnsi="Times New Roman" w:cs="Times New Roman"/>
          <w:sz w:val="22"/>
          <w:szCs w:val="22"/>
        </w:rPr>
        <w:t>b.</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Havrix</w:t>
      </w:r>
      <w:proofErr w:type="spellEnd"/>
      <w:proofErr w:type="gramEnd"/>
      <w:r w:rsidRPr="006F1CD7">
        <w:rPr>
          <w:rFonts w:ascii="Times New Roman" w:hAnsi="Times New Roman" w:cs="Times New Roman"/>
          <w:sz w:val="22"/>
          <w:szCs w:val="22"/>
        </w:rPr>
        <w:t xml:space="preserve"> ® (GSK)</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F1CD7">
        <w:rPr>
          <w:rFonts w:ascii="Times New Roman" w:hAnsi="Times New Roman" w:cs="Times New Roman"/>
          <w:sz w:val="22"/>
          <w:szCs w:val="22"/>
        </w:rPr>
        <w:t>3.</w:t>
      </w:r>
      <w:r w:rsidRPr="006F1CD7">
        <w:rPr>
          <w:rFonts w:ascii="Times New Roman" w:hAnsi="Times New Roman" w:cs="Times New Roman"/>
          <w:sz w:val="22"/>
          <w:szCs w:val="22"/>
        </w:rPr>
        <w:tab/>
      </w:r>
      <w:r w:rsidRPr="006F1CD7">
        <w:rPr>
          <w:rFonts w:ascii="Times New Roman" w:hAnsi="Times New Roman" w:cs="Times New Roman"/>
          <w:b/>
          <w:sz w:val="22"/>
          <w:szCs w:val="22"/>
        </w:rPr>
        <w:t>Hepatitis B Vaccines</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F1CD7" w:rsidRDefault="003702D1" w:rsidP="006F1CD7">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Engerix</w:t>
      </w:r>
      <w:proofErr w:type="spellEnd"/>
      <w:r w:rsidRPr="006F1CD7">
        <w:rPr>
          <w:rFonts w:ascii="Times New Roman" w:hAnsi="Times New Roman" w:cs="Times New Roman"/>
          <w:sz w:val="22"/>
          <w:szCs w:val="22"/>
        </w:rPr>
        <w:t xml:space="preserve"> B</w:t>
      </w:r>
      <w:proofErr w:type="gramEnd"/>
      <w:r w:rsidRPr="006F1CD7">
        <w:rPr>
          <w:rFonts w:ascii="Times New Roman" w:hAnsi="Times New Roman" w:cs="Times New Roman"/>
          <w:sz w:val="22"/>
          <w:szCs w:val="22"/>
        </w:rPr>
        <w:t xml:space="preserve"> ® (GSK)</w:t>
      </w:r>
    </w:p>
    <w:p w:rsidR="006F1CD7" w:rsidRDefault="006F1CD7" w:rsidP="006F1CD7">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roofErr w:type="gramStart"/>
      <w:r w:rsidRPr="006F1CD7">
        <w:rPr>
          <w:rFonts w:ascii="Times New Roman" w:hAnsi="Times New Roman" w:cs="Times New Roman"/>
          <w:sz w:val="22"/>
          <w:szCs w:val="22"/>
        </w:rPr>
        <w:t>b.</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Recombivax</w:t>
      </w:r>
      <w:proofErr w:type="spellEnd"/>
      <w:proofErr w:type="gramEnd"/>
      <w:r w:rsidRPr="006F1CD7">
        <w:rPr>
          <w:rFonts w:ascii="Times New Roman" w:hAnsi="Times New Roman" w:cs="Times New Roman"/>
          <w:sz w:val="22"/>
          <w:szCs w:val="22"/>
        </w:rPr>
        <w:t xml:space="preserve"> ® (Merck)</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F1CD7">
        <w:rPr>
          <w:rFonts w:ascii="Times New Roman" w:hAnsi="Times New Roman" w:cs="Times New Roman"/>
          <w:sz w:val="22"/>
          <w:szCs w:val="22"/>
        </w:rPr>
        <w:t>4.</w:t>
      </w:r>
      <w:r w:rsidRPr="006F1CD7">
        <w:rPr>
          <w:rFonts w:ascii="Times New Roman" w:hAnsi="Times New Roman" w:cs="Times New Roman"/>
          <w:sz w:val="22"/>
          <w:szCs w:val="22"/>
        </w:rPr>
        <w:tab/>
      </w:r>
      <w:r w:rsidRPr="006F1CD7">
        <w:rPr>
          <w:rFonts w:ascii="Times New Roman" w:hAnsi="Times New Roman" w:cs="Times New Roman"/>
          <w:b/>
          <w:sz w:val="22"/>
          <w:szCs w:val="22"/>
        </w:rPr>
        <w:t>Polio Vaccine</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t>IPOL</w:t>
      </w:r>
      <w:proofErr w:type="gramEnd"/>
      <w:r w:rsidRPr="006F1CD7">
        <w:rPr>
          <w:rFonts w:ascii="Times New Roman" w:hAnsi="Times New Roman" w:cs="Times New Roman"/>
          <w:sz w:val="22"/>
          <w:szCs w:val="22"/>
        </w:rPr>
        <w:t xml:space="preserve"> ® (</w:t>
      </w:r>
      <w:proofErr w:type="spellStart"/>
      <w:r w:rsidRPr="006F1CD7">
        <w:rPr>
          <w:rFonts w:ascii="Times New Roman" w:hAnsi="Times New Roman" w:cs="Times New Roman"/>
          <w:sz w:val="22"/>
          <w:szCs w:val="22"/>
        </w:rPr>
        <w:t>Sanofi</w:t>
      </w:r>
      <w:proofErr w:type="spellEnd"/>
      <w:r w:rsidRPr="006F1CD7">
        <w:rPr>
          <w:rFonts w:ascii="Times New Roman" w:hAnsi="Times New Roman" w:cs="Times New Roman"/>
          <w:sz w:val="22"/>
          <w:szCs w:val="22"/>
        </w:rPr>
        <w:t xml:space="preserve"> Pasteur)</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keepNext/>
        <w:keepLines/>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sidRPr="006F1CD7">
        <w:rPr>
          <w:rFonts w:ascii="Times New Roman" w:hAnsi="Times New Roman" w:cs="Times New Roman"/>
          <w:sz w:val="22"/>
          <w:szCs w:val="22"/>
        </w:rPr>
        <w:t>5.</w:t>
      </w:r>
      <w:r w:rsidRPr="006F1CD7">
        <w:rPr>
          <w:rFonts w:ascii="Times New Roman" w:hAnsi="Times New Roman" w:cs="Times New Roman"/>
          <w:sz w:val="22"/>
          <w:szCs w:val="22"/>
        </w:rPr>
        <w:tab/>
      </w:r>
      <w:proofErr w:type="spellStart"/>
      <w:r w:rsidRPr="006F1CD7">
        <w:rPr>
          <w:rFonts w:ascii="Times New Roman" w:hAnsi="Times New Roman" w:cs="Times New Roman"/>
          <w:b/>
          <w:sz w:val="22"/>
          <w:szCs w:val="22"/>
        </w:rPr>
        <w:t>Hib</w:t>
      </w:r>
      <w:proofErr w:type="spellEnd"/>
      <w:r w:rsidRPr="006F1CD7">
        <w:rPr>
          <w:rFonts w:ascii="Times New Roman" w:hAnsi="Times New Roman" w:cs="Times New Roman"/>
          <w:b/>
          <w:sz w:val="22"/>
          <w:szCs w:val="22"/>
        </w:rPr>
        <w:t xml:space="preserve"> Vaccines (</w:t>
      </w:r>
      <w:proofErr w:type="spellStart"/>
      <w:r w:rsidRPr="006F1CD7">
        <w:rPr>
          <w:rFonts w:ascii="Times New Roman" w:hAnsi="Times New Roman" w:cs="Times New Roman"/>
          <w:b/>
          <w:sz w:val="22"/>
          <w:szCs w:val="22"/>
        </w:rPr>
        <w:t>Haemophilus</w:t>
      </w:r>
      <w:proofErr w:type="spellEnd"/>
      <w:r w:rsidRPr="006F1CD7">
        <w:rPr>
          <w:rFonts w:ascii="Times New Roman" w:hAnsi="Times New Roman" w:cs="Times New Roman"/>
          <w:b/>
          <w:sz w:val="22"/>
          <w:szCs w:val="22"/>
        </w:rPr>
        <w:t xml:space="preserve"> </w:t>
      </w:r>
      <w:proofErr w:type="spellStart"/>
      <w:r w:rsidRPr="006F1CD7">
        <w:rPr>
          <w:rFonts w:ascii="Times New Roman" w:hAnsi="Times New Roman" w:cs="Times New Roman"/>
          <w:b/>
          <w:sz w:val="22"/>
          <w:szCs w:val="22"/>
        </w:rPr>
        <w:t>influenzae</w:t>
      </w:r>
      <w:proofErr w:type="spellEnd"/>
      <w:r w:rsidRPr="006F1CD7">
        <w:rPr>
          <w:rFonts w:ascii="Times New Roman" w:hAnsi="Times New Roman" w:cs="Times New Roman"/>
          <w:b/>
          <w:sz w:val="22"/>
          <w:szCs w:val="22"/>
        </w:rPr>
        <w:t xml:space="preserve"> type b)</w:t>
      </w:r>
    </w:p>
    <w:p w:rsidR="006F1CD7" w:rsidRDefault="006F1CD7" w:rsidP="006F1CD7">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rsidR="006F1CD7" w:rsidRDefault="003702D1" w:rsidP="006F1CD7">
      <w:pPr>
        <w:pStyle w:val="PlainText"/>
        <w:keepNext/>
        <w:keepLines/>
        <w:tabs>
          <w:tab w:val="left" w:pos="720"/>
          <w:tab w:val="left" w:pos="1440"/>
          <w:tab w:val="left" w:pos="2160"/>
          <w:tab w:val="left" w:pos="2880"/>
          <w:tab w:val="left" w:pos="3600"/>
          <w:tab w:val="left" w:pos="4320"/>
        </w:tabs>
        <w:ind w:left="216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ActHIB</w:t>
      </w:r>
      <w:proofErr w:type="spellEnd"/>
      <w:proofErr w:type="gramEnd"/>
      <w:r w:rsidRPr="006F1CD7">
        <w:rPr>
          <w:rFonts w:ascii="Times New Roman" w:hAnsi="Times New Roman" w:cs="Times New Roman"/>
          <w:sz w:val="22"/>
          <w:szCs w:val="22"/>
        </w:rPr>
        <w:t xml:space="preserve"> ® (</w:t>
      </w:r>
      <w:proofErr w:type="spellStart"/>
      <w:r w:rsidRPr="006F1CD7">
        <w:rPr>
          <w:rFonts w:ascii="Times New Roman" w:hAnsi="Times New Roman" w:cs="Times New Roman"/>
          <w:sz w:val="22"/>
          <w:szCs w:val="22"/>
        </w:rPr>
        <w:t>Sanofi</w:t>
      </w:r>
      <w:proofErr w:type="spellEnd"/>
      <w:r w:rsidRPr="006F1CD7">
        <w:rPr>
          <w:rFonts w:ascii="Times New Roman" w:hAnsi="Times New Roman" w:cs="Times New Roman"/>
          <w:sz w:val="22"/>
          <w:szCs w:val="22"/>
        </w:rPr>
        <w:t xml:space="preserve"> Pasteur)</w:t>
      </w:r>
    </w:p>
    <w:p w:rsidR="006F1CD7" w:rsidRDefault="006F1CD7" w:rsidP="006F1CD7">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keepNext/>
        <w:keepLines/>
        <w:tabs>
          <w:tab w:val="left" w:pos="720"/>
          <w:tab w:val="left" w:pos="1440"/>
          <w:tab w:val="left" w:pos="2160"/>
          <w:tab w:val="left" w:pos="2880"/>
          <w:tab w:val="left" w:pos="3600"/>
          <w:tab w:val="left" w:pos="4320"/>
        </w:tabs>
        <w:ind w:left="2160"/>
        <w:rPr>
          <w:rFonts w:ascii="Times New Roman" w:hAnsi="Times New Roman" w:cs="Times New Roman"/>
          <w:sz w:val="22"/>
          <w:szCs w:val="22"/>
        </w:rPr>
      </w:pPr>
      <w:proofErr w:type="gramStart"/>
      <w:r w:rsidRPr="006F1CD7">
        <w:rPr>
          <w:rFonts w:ascii="Times New Roman" w:hAnsi="Times New Roman" w:cs="Times New Roman"/>
          <w:sz w:val="22"/>
          <w:szCs w:val="22"/>
        </w:rPr>
        <w:t>b</w:t>
      </w:r>
      <w:proofErr w:type="gramEnd"/>
      <w:r w:rsidRPr="006F1CD7">
        <w:rPr>
          <w:rFonts w:ascii="Times New Roman" w:hAnsi="Times New Roman" w:cs="Times New Roman"/>
          <w:sz w:val="22"/>
          <w:szCs w:val="22"/>
        </w:rPr>
        <w:t>.</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Pedvax</w:t>
      </w:r>
      <w:proofErr w:type="spellEnd"/>
      <w:r w:rsidRPr="006F1CD7">
        <w:rPr>
          <w:rFonts w:ascii="Times New Roman" w:hAnsi="Times New Roman" w:cs="Times New Roman"/>
          <w:sz w:val="22"/>
          <w:szCs w:val="22"/>
        </w:rPr>
        <w:t xml:space="preserve"> HIB ® (Merck)</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F1CD7">
        <w:rPr>
          <w:rFonts w:ascii="Times New Roman" w:hAnsi="Times New Roman" w:cs="Times New Roman"/>
          <w:sz w:val="22"/>
          <w:szCs w:val="22"/>
        </w:rPr>
        <w:t>6.</w:t>
      </w:r>
      <w:r w:rsidRPr="006F1CD7">
        <w:rPr>
          <w:rFonts w:ascii="Times New Roman" w:hAnsi="Times New Roman" w:cs="Times New Roman"/>
          <w:sz w:val="22"/>
          <w:szCs w:val="22"/>
        </w:rPr>
        <w:tab/>
      </w:r>
      <w:r w:rsidRPr="006F1CD7">
        <w:rPr>
          <w:rFonts w:ascii="Times New Roman" w:hAnsi="Times New Roman" w:cs="Times New Roman"/>
          <w:b/>
          <w:sz w:val="22"/>
          <w:szCs w:val="22"/>
        </w:rPr>
        <w:t>HPV Vaccines (Human Papillomavirus)</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t>Gardasil</w:t>
      </w:r>
      <w:proofErr w:type="gramEnd"/>
      <w:r w:rsidRPr="006F1CD7">
        <w:rPr>
          <w:rFonts w:ascii="Times New Roman" w:hAnsi="Times New Roman" w:cs="Times New Roman"/>
          <w:sz w:val="22"/>
          <w:szCs w:val="22"/>
        </w:rPr>
        <w:t xml:space="preserve"> ® (Merck)</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sidRPr="006F1CD7">
        <w:rPr>
          <w:rFonts w:ascii="Times New Roman" w:hAnsi="Times New Roman" w:cs="Times New Roman"/>
          <w:sz w:val="22"/>
          <w:szCs w:val="22"/>
        </w:rPr>
        <w:t>7.</w:t>
      </w:r>
      <w:r w:rsidRPr="006F1CD7">
        <w:rPr>
          <w:rFonts w:ascii="Times New Roman" w:hAnsi="Times New Roman" w:cs="Times New Roman"/>
          <w:sz w:val="22"/>
          <w:szCs w:val="22"/>
        </w:rPr>
        <w:tab/>
      </w:r>
      <w:r w:rsidRPr="006F1CD7">
        <w:rPr>
          <w:rFonts w:ascii="Times New Roman" w:hAnsi="Times New Roman" w:cs="Times New Roman"/>
          <w:b/>
          <w:sz w:val="22"/>
          <w:szCs w:val="22"/>
        </w:rPr>
        <w:t>Pneumococcal Vaccines</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6F1CD7" w:rsidRDefault="003702D1" w:rsidP="006F1CD7">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6F1CD7">
        <w:rPr>
          <w:rFonts w:ascii="Times New Roman" w:hAnsi="Times New Roman" w:cs="Times New Roman"/>
          <w:sz w:val="22"/>
          <w:szCs w:val="22"/>
        </w:rPr>
        <w:t>a.</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Prevnar</w:t>
      </w:r>
      <w:proofErr w:type="spellEnd"/>
      <w:r w:rsidRPr="006F1CD7">
        <w:rPr>
          <w:rFonts w:ascii="Times New Roman" w:hAnsi="Times New Roman" w:cs="Times New Roman"/>
          <w:sz w:val="22"/>
          <w:szCs w:val="22"/>
        </w:rPr>
        <w:t xml:space="preserve"> 13 ® (Wyeth)</w:t>
      </w:r>
    </w:p>
    <w:p w:rsidR="006F1CD7" w:rsidRDefault="006F1CD7" w:rsidP="006F1CD7">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ind w:left="2160"/>
        <w:rPr>
          <w:rFonts w:ascii="Times New Roman" w:hAnsi="Times New Roman" w:cs="Times New Roman"/>
          <w:sz w:val="22"/>
          <w:szCs w:val="22"/>
        </w:rPr>
      </w:pPr>
      <w:proofErr w:type="gramStart"/>
      <w:r w:rsidRPr="006F1CD7">
        <w:rPr>
          <w:rFonts w:ascii="Times New Roman" w:hAnsi="Times New Roman" w:cs="Times New Roman"/>
          <w:sz w:val="22"/>
          <w:szCs w:val="22"/>
        </w:rPr>
        <w:t>b.</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Pneumovax</w:t>
      </w:r>
      <w:proofErr w:type="spellEnd"/>
      <w:proofErr w:type="gramEnd"/>
      <w:r w:rsidRPr="006F1CD7">
        <w:rPr>
          <w:rFonts w:ascii="Times New Roman" w:hAnsi="Times New Roman" w:cs="Times New Roman"/>
          <w:sz w:val="22"/>
          <w:szCs w:val="22"/>
        </w:rPr>
        <w:t xml:space="preserve"> ® (Merck)</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F1CD7">
        <w:rPr>
          <w:rFonts w:ascii="Times New Roman" w:hAnsi="Times New Roman" w:cs="Times New Roman"/>
          <w:sz w:val="22"/>
          <w:szCs w:val="22"/>
        </w:rPr>
        <w:t>8.</w:t>
      </w:r>
      <w:r w:rsidRPr="006F1CD7">
        <w:rPr>
          <w:rFonts w:ascii="Times New Roman" w:hAnsi="Times New Roman" w:cs="Times New Roman"/>
          <w:sz w:val="22"/>
          <w:szCs w:val="22"/>
        </w:rPr>
        <w:tab/>
      </w:r>
      <w:r w:rsidRPr="00231A06">
        <w:rPr>
          <w:rFonts w:ascii="Times New Roman" w:hAnsi="Times New Roman" w:cs="Times New Roman"/>
          <w:b/>
          <w:sz w:val="22"/>
          <w:szCs w:val="22"/>
        </w:rPr>
        <w:t>Meningococcal Conjugate Vaccines</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Menactra</w:t>
      </w:r>
      <w:proofErr w:type="spellEnd"/>
      <w:proofErr w:type="gramEnd"/>
      <w:r w:rsidRPr="006F1CD7">
        <w:rPr>
          <w:rFonts w:ascii="Times New Roman" w:hAnsi="Times New Roman" w:cs="Times New Roman"/>
          <w:sz w:val="22"/>
          <w:szCs w:val="22"/>
        </w:rPr>
        <w:t xml:space="preserve"> ® (</w:t>
      </w:r>
      <w:proofErr w:type="spellStart"/>
      <w:r w:rsidRPr="006F1CD7">
        <w:rPr>
          <w:rFonts w:ascii="Times New Roman" w:hAnsi="Times New Roman" w:cs="Times New Roman"/>
          <w:sz w:val="22"/>
          <w:szCs w:val="22"/>
        </w:rPr>
        <w:t>Sanofi</w:t>
      </w:r>
      <w:proofErr w:type="spellEnd"/>
      <w:r w:rsidRPr="006F1CD7">
        <w:rPr>
          <w:rFonts w:ascii="Times New Roman" w:hAnsi="Times New Roman" w:cs="Times New Roman"/>
          <w:sz w:val="22"/>
          <w:szCs w:val="22"/>
        </w:rPr>
        <w:t xml:space="preserve"> Pasteur)</w:t>
      </w:r>
    </w:p>
    <w:p w:rsidR="006F1CD7" w:rsidRDefault="006F1CD7"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
    <w:p w:rsidR="003702D1" w:rsidRP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roofErr w:type="gramStart"/>
      <w:r w:rsidRPr="006F1CD7">
        <w:rPr>
          <w:rFonts w:ascii="Times New Roman" w:hAnsi="Times New Roman" w:cs="Times New Roman"/>
          <w:sz w:val="22"/>
          <w:szCs w:val="22"/>
        </w:rPr>
        <w:t>b.</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Menveo</w:t>
      </w:r>
      <w:proofErr w:type="spellEnd"/>
      <w:proofErr w:type="gramEnd"/>
      <w:r w:rsidRPr="006F1CD7">
        <w:rPr>
          <w:rFonts w:ascii="Times New Roman" w:hAnsi="Times New Roman" w:cs="Times New Roman"/>
          <w:sz w:val="22"/>
          <w:szCs w:val="22"/>
        </w:rPr>
        <w:t xml:space="preserve"> ® (Novartis)</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3702D1" w:rsidRPr="006F1CD7" w:rsidRDefault="003702D1"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F1CD7">
        <w:rPr>
          <w:rFonts w:ascii="Times New Roman" w:hAnsi="Times New Roman" w:cs="Times New Roman"/>
          <w:sz w:val="22"/>
          <w:szCs w:val="22"/>
        </w:rPr>
        <w:t>9.</w:t>
      </w:r>
      <w:r w:rsidRPr="006F1CD7">
        <w:rPr>
          <w:rFonts w:ascii="Times New Roman" w:hAnsi="Times New Roman" w:cs="Times New Roman"/>
          <w:sz w:val="22"/>
          <w:szCs w:val="22"/>
        </w:rPr>
        <w:tab/>
      </w:r>
      <w:r w:rsidRPr="00231A06">
        <w:rPr>
          <w:rFonts w:ascii="Times New Roman" w:hAnsi="Times New Roman" w:cs="Times New Roman"/>
          <w:b/>
          <w:sz w:val="22"/>
          <w:szCs w:val="22"/>
        </w:rPr>
        <w:t>Measles, Mumps and Rubella Vaccine</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3702D1" w:rsidRP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t>MMRII</w:t>
      </w:r>
      <w:proofErr w:type="gramEnd"/>
      <w:r w:rsidRPr="006F1CD7">
        <w:rPr>
          <w:rFonts w:ascii="Times New Roman" w:hAnsi="Times New Roman" w:cs="Times New Roman"/>
          <w:sz w:val="22"/>
          <w:szCs w:val="22"/>
        </w:rPr>
        <w:t xml:space="preserve"> ® (Merck)</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3702D1" w:rsidRPr="006F1CD7" w:rsidRDefault="003702D1"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F1CD7">
        <w:rPr>
          <w:rFonts w:ascii="Times New Roman" w:hAnsi="Times New Roman" w:cs="Times New Roman"/>
          <w:sz w:val="22"/>
          <w:szCs w:val="22"/>
        </w:rPr>
        <w:t>10.</w:t>
      </w:r>
      <w:r w:rsidRPr="006F1CD7">
        <w:rPr>
          <w:rFonts w:ascii="Times New Roman" w:hAnsi="Times New Roman" w:cs="Times New Roman"/>
          <w:sz w:val="22"/>
          <w:szCs w:val="22"/>
        </w:rPr>
        <w:tab/>
      </w:r>
      <w:r w:rsidRPr="00231A06">
        <w:rPr>
          <w:rFonts w:ascii="Times New Roman" w:hAnsi="Times New Roman" w:cs="Times New Roman"/>
          <w:b/>
          <w:sz w:val="22"/>
          <w:szCs w:val="22"/>
        </w:rPr>
        <w:t>Rotavirus Vaccines</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Rotarix</w:t>
      </w:r>
      <w:proofErr w:type="spellEnd"/>
      <w:proofErr w:type="gramEnd"/>
      <w:r w:rsidRPr="006F1CD7">
        <w:rPr>
          <w:rFonts w:ascii="Times New Roman" w:hAnsi="Times New Roman" w:cs="Times New Roman"/>
          <w:sz w:val="22"/>
          <w:szCs w:val="22"/>
        </w:rPr>
        <w:t xml:space="preserve"> ® (GSK)</w:t>
      </w:r>
    </w:p>
    <w:p w:rsidR="006F1CD7" w:rsidRDefault="006F1CD7"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
    <w:p w:rsidR="003702D1" w:rsidRP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roofErr w:type="gramStart"/>
      <w:r w:rsidRPr="006F1CD7">
        <w:rPr>
          <w:rFonts w:ascii="Times New Roman" w:hAnsi="Times New Roman" w:cs="Times New Roman"/>
          <w:sz w:val="22"/>
          <w:szCs w:val="22"/>
        </w:rPr>
        <w:t>b.</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RotaTeq</w:t>
      </w:r>
      <w:proofErr w:type="spellEnd"/>
      <w:proofErr w:type="gramEnd"/>
      <w:r w:rsidRPr="006F1CD7">
        <w:rPr>
          <w:rFonts w:ascii="Times New Roman" w:hAnsi="Times New Roman" w:cs="Times New Roman"/>
          <w:sz w:val="22"/>
          <w:szCs w:val="22"/>
        </w:rPr>
        <w:t xml:space="preserve"> ® (Merck)</w:t>
      </w:r>
    </w:p>
    <w:p w:rsidR="003702D1" w:rsidRPr="006F1CD7" w:rsidRDefault="003702D1"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3702D1" w:rsidRPr="00231A06" w:rsidRDefault="003702D1" w:rsidP="00231A0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sidRPr="006F1CD7">
        <w:rPr>
          <w:rFonts w:ascii="Times New Roman" w:hAnsi="Times New Roman" w:cs="Times New Roman"/>
          <w:sz w:val="22"/>
          <w:szCs w:val="22"/>
        </w:rPr>
        <w:t>11.</w:t>
      </w:r>
      <w:r w:rsidRPr="006F1CD7">
        <w:rPr>
          <w:rFonts w:ascii="Times New Roman" w:hAnsi="Times New Roman" w:cs="Times New Roman"/>
          <w:sz w:val="22"/>
          <w:szCs w:val="22"/>
        </w:rPr>
        <w:tab/>
      </w:r>
      <w:r w:rsidRPr="00231A06">
        <w:rPr>
          <w:rFonts w:ascii="Times New Roman" w:hAnsi="Times New Roman" w:cs="Times New Roman"/>
          <w:b/>
          <w:sz w:val="22"/>
          <w:szCs w:val="22"/>
        </w:rPr>
        <w:t xml:space="preserve">TDAP Vaccines (Tetanus Toxoid, Reduced Diphtheria Toxoid and </w:t>
      </w:r>
      <w:proofErr w:type="spellStart"/>
      <w:r w:rsidRPr="00231A06">
        <w:rPr>
          <w:rFonts w:ascii="Times New Roman" w:hAnsi="Times New Roman" w:cs="Times New Roman"/>
          <w:b/>
          <w:sz w:val="22"/>
          <w:szCs w:val="22"/>
        </w:rPr>
        <w:t>acellular</w:t>
      </w:r>
      <w:proofErr w:type="spellEnd"/>
      <w:r w:rsidRPr="00231A06">
        <w:rPr>
          <w:rFonts w:ascii="Times New Roman" w:hAnsi="Times New Roman" w:cs="Times New Roman"/>
          <w:b/>
          <w:sz w:val="22"/>
          <w:szCs w:val="22"/>
        </w:rPr>
        <w:t xml:space="preserve"> Pertussis – adolescent formulation)</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Boostrix</w:t>
      </w:r>
      <w:proofErr w:type="spellEnd"/>
      <w:proofErr w:type="gramEnd"/>
      <w:r w:rsidRPr="006F1CD7">
        <w:rPr>
          <w:rFonts w:ascii="Times New Roman" w:hAnsi="Times New Roman" w:cs="Times New Roman"/>
          <w:sz w:val="22"/>
          <w:szCs w:val="22"/>
        </w:rPr>
        <w:t xml:space="preserve"> ® (GSK)</w:t>
      </w:r>
    </w:p>
    <w:p w:rsidR="006F1CD7" w:rsidRDefault="006F1CD7"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
    <w:p w:rsidR="003702D1" w:rsidRP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roofErr w:type="gramStart"/>
      <w:r w:rsidRPr="006F1CD7">
        <w:rPr>
          <w:rFonts w:ascii="Times New Roman" w:hAnsi="Times New Roman" w:cs="Times New Roman"/>
          <w:sz w:val="22"/>
          <w:szCs w:val="22"/>
        </w:rPr>
        <w:t>b.</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Adacel</w:t>
      </w:r>
      <w:proofErr w:type="spellEnd"/>
      <w:proofErr w:type="gramEnd"/>
      <w:r w:rsidRPr="006F1CD7">
        <w:rPr>
          <w:rFonts w:ascii="Times New Roman" w:hAnsi="Times New Roman" w:cs="Times New Roman"/>
          <w:sz w:val="22"/>
          <w:szCs w:val="22"/>
        </w:rPr>
        <w:t xml:space="preserve"> ® (</w:t>
      </w:r>
      <w:proofErr w:type="spellStart"/>
      <w:r w:rsidRPr="006F1CD7">
        <w:rPr>
          <w:rFonts w:ascii="Times New Roman" w:hAnsi="Times New Roman" w:cs="Times New Roman"/>
          <w:sz w:val="22"/>
          <w:szCs w:val="22"/>
        </w:rPr>
        <w:t>Sanofi</w:t>
      </w:r>
      <w:proofErr w:type="spellEnd"/>
      <w:r w:rsidRPr="006F1CD7">
        <w:rPr>
          <w:rFonts w:ascii="Times New Roman" w:hAnsi="Times New Roman" w:cs="Times New Roman"/>
          <w:sz w:val="22"/>
          <w:szCs w:val="22"/>
        </w:rPr>
        <w:t xml:space="preserve"> Pasteur)</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3702D1" w:rsidRPr="006F1CD7" w:rsidRDefault="003702D1"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F1CD7">
        <w:rPr>
          <w:rFonts w:ascii="Times New Roman" w:hAnsi="Times New Roman" w:cs="Times New Roman"/>
          <w:sz w:val="22"/>
          <w:szCs w:val="22"/>
        </w:rPr>
        <w:t>12.</w:t>
      </w:r>
      <w:r w:rsidRPr="006F1CD7">
        <w:rPr>
          <w:rFonts w:ascii="Times New Roman" w:hAnsi="Times New Roman" w:cs="Times New Roman"/>
          <w:sz w:val="22"/>
          <w:szCs w:val="22"/>
        </w:rPr>
        <w:tab/>
      </w:r>
      <w:r w:rsidRPr="00231A06">
        <w:rPr>
          <w:rFonts w:ascii="Times New Roman" w:hAnsi="Times New Roman" w:cs="Times New Roman"/>
          <w:b/>
          <w:sz w:val="22"/>
          <w:szCs w:val="22"/>
        </w:rPr>
        <w:t>Varicella Vaccine</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3702D1" w:rsidRP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Varivax</w:t>
      </w:r>
      <w:proofErr w:type="spellEnd"/>
      <w:proofErr w:type="gramEnd"/>
      <w:r w:rsidRPr="006F1CD7">
        <w:rPr>
          <w:rFonts w:ascii="Times New Roman" w:hAnsi="Times New Roman" w:cs="Times New Roman"/>
          <w:sz w:val="22"/>
          <w:szCs w:val="22"/>
        </w:rPr>
        <w:t xml:space="preserve"> ® (Merck)</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3702D1" w:rsidRPr="006F1CD7" w:rsidRDefault="003702D1"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F1CD7">
        <w:rPr>
          <w:rFonts w:ascii="Times New Roman" w:hAnsi="Times New Roman" w:cs="Times New Roman"/>
          <w:sz w:val="22"/>
          <w:szCs w:val="22"/>
        </w:rPr>
        <w:t>13.</w:t>
      </w:r>
      <w:r w:rsidRPr="006F1CD7">
        <w:rPr>
          <w:rFonts w:ascii="Times New Roman" w:hAnsi="Times New Roman" w:cs="Times New Roman"/>
          <w:sz w:val="22"/>
          <w:szCs w:val="22"/>
        </w:rPr>
        <w:tab/>
      </w:r>
      <w:r w:rsidRPr="00231A06">
        <w:rPr>
          <w:rFonts w:ascii="Times New Roman" w:hAnsi="Times New Roman" w:cs="Times New Roman"/>
          <w:b/>
          <w:sz w:val="22"/>
          <w:szCs w:val="22"/>
        </w:rPr>
        <w:t>Combination Vaccines</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roofErr w:type="gramStart"/>
      <w:r w:rsidRPr="006F1CD7">
        <w:rPr>
          <w:rFonts w:ascii="Times New Roman" w:hAnsi="Times New Roman" w:cs="Times New Roman"/>
          <w:sz w:val="22"/>
          <w:szCs w:val="22"/>
        </w:rPr>
        <w:t>a.</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Kinrix</w:t>
      </w:r>
      <w:proofErr w:type="spellEnd"/>
      <w:proofErr w:type="gramEnd"/>
      <w:r w:rsidRPr="006F1CD7">
        <w:rPr>
          <w:rFonts w:ascii="Times New Roman" w:hAnsi="Times New Roman" w:cs="Times New Roman"/>
          <w:sz w:val="22"/>
          <w:szCs w:val="22"/>
        </w:rPr>
        <w:t xml:space="preserve"> ® (GSK)</w:t>
      </w:r>
    </w:p>
    <w:p w:rsidR="006F1CD7" w:rsidRDefault="006F1CD7"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
    <w:p w:rsid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roofErr w:type="gramStart"/>
      <w:r w:rsidRPr="006F1CD7">
        <w:rPr>
          <w:rFonts w:ascii="Times New Roman" w:hAnsi="Times New Roman" w:cs="Times New Roman"/>
          <w:sz w:val="22"/>
          <w:szCs w:val="22"/>
        </w:rPr>
        <w:t>b.</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Pediarix</w:t>
      </w:r>
      <w:proofErr w:type="spellEnd"/>
      <w:proofErr w:type="gramEnd"/>
      <w:r w:rsidRPr="006F1CD7">
        <w:rPr>
          <w:rFonts w:ascii="Times New Roman" w:hAnsi="Times New Roman" w:cs="Times New Roman"/>
          <w:sz w:val="22"/>
          <w:szCs w:val="22"/>
        </w:rPr>
        <w:t xml:space="preserve"> ® (GSK)</w:t>
      </w:r>
    </w:p>
    <w:p w:rsidR="006F1CD7" w:rsidRDefault="006F1CD7"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
    <w:p w:rsidR="006F1CD7" w:rsidRDefault="003702D1" w:rsidP="00231A06">
      <w:pPr>
        <w:pStyle w:val="PlainText"/>
        <w:keepNext/>
        <w:keepLines/>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roofErr w:type="gramStart"/>
      <w:r w:rsidRPr="006F1CD7">
        <w:rPr>
          <w:rFonts w:ascii="Times New Roman" w:hAnsi="Times New Roman" w:cs="Times New Roman"/>
          <w:sz w:val="22"/>
          <w:szCs w:val="22"/>
        </w:rPr>
        <w:t>c.</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Pentacel</w:t>
      </w:r>
      <w:proofErr w:type="spellEnd"/>
      <w:proofErr w:type="gramEnd"/>
      <w:r w:rsidRPr="006F1CD7">
        <w:rPr>
          <w:rFonts w:ascii="Times New Roman" w:hAnsi="Times New Roman" w:cs="Times New Roman"/>
          <w:sz w:val="22"/>
          <w:szCs w:val="22"/>
        </w:rPr>
        <w:t xml:space="preserve"> ® (</w:t>
      </w:r>
      <w:proofErr w:type="spellStart"/>
      <w:r w:rsidRPr="006F1CD7">
        <w:rPr>
          <w:rFonts w:ascii="Times New Roman" w:hAnsi="Times New Roman" w:cs="Times New Roman"/>
          <w:sz w:val="22"/>
          <w:szCs w:val="22"/>
        </w:rPr>
        <w:t>Sanofi</w:t>
      </w:r>
      <w:proofErr w:type="spellEnd"/>
      <w:r w:rsidRPr="006F1CD7">
        <w:rPr>
          <w:rFonts w:ascii="Times New Roman" w:hAnsi="Times New Roman" w:cs="Times New Roman"/>
          <w:sz w:val="22"/>
          <w:szCs w:val="22"/>
        </w:rPr>
        <w:t xml:space="preserve"> Pasteur)</w:t>
      </w:r>
    </w:p>
    <w:p w:rsidR="006F1CD7" w:rsidRDefault="006F1CD7" w:rsidP="00231A06">
      <w:pPr>
        <w:pStyle w:val="PlainText"/>
        <w:keepNext/>
        <w:keepLines/>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3702D1" w:rsidRPr="006F1CD7" w:rsidRDefault="003702D1" w:rsidP="00231A06">
      <w:pPr>
        <w:pStyle w:val="PlainText"/>
        <w:keepNext/>
        <w:keepLines/>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r w:rsidRPr="006F1CD7">
        <w:rPr>
          <w:rFonts w:ascii="Times New Roman" w:hAnsi="Times New Roman" w:cs="Times New Roman"/>
          <w:sz w:val="22"/>
          <w:szCs w:val="22"/>
        </w:rPr>
        <w:t>d.</w:t>
      </w:r>
      <w:r w:rsidRPr="006F1CD7">
        <w:rPr>
          <w:rFonts w:ascii="Times New Roman" w:hAnsi="Times New Roman" w:cs="Times New Roman"/>
          <w:sz w:val="22"/>
          <w:szCs w:val="22"/>
        </w:rPr>
        <w:tab/>
      </w:r>
      <w:proofErr w:type="spellStart"/>
      <w:r w:rsidRPr="006F1CD7">
        <w:rPr>
          <w:rFonts w:ascii="Times New Roman" w:hAnsi="Times New Roman" w:cs="Times New Roman"/>
          <w:sz w:val="22"/>
          <w:szCs w:val="22"/>
        </w:rPr>
        <w:t>ProQuad</w:t>
      </w:r>
      <w:proofErr w:type="spellEnd"/>
      <w:r w:rsidRPr="006F1CD7">
        <w:rPr>
          <w:rFonts w:ascii="Times New Roman" w:hAnsi="Times New Roman" w:cs="Times New Roman"/>
          <w:sz w:val="22"/>
          <w:szCs w:val="22"/>
        </w:rPr>
        <w:t xml:space="preserve"> ® (Merck)</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3702D1" w:rsidRPr="006F1CD7" w:rsidRDefault="003702D1"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F1CD7">
        <w:rPr>
          <w:rFonts w:ascii="Times New Roman" w:hAnsi="Times New Roman" w:cs="Times New Roman"/>
          <w:sz w:val="22"/>
          <w:szCs w:val="22"/>
        </w:rPr>
        <w:t>14.</w:t>
      </w:r>
      <w:r w:rsidRPr="006F1CD7">
        <w:rPr>
          <w:rFonts w:ascii="Times New Roman" w:hAnsi="Times New Roman" w:cs="Times New Roman"/>
          <w:sz w:val="22"/>
          <w:szCs w:val="22"/>
        </w:rPr>
        <w:tab/>
      </w:r>
      <w:r w:rsidRPr="00231A06">
        <w:rPr>
          <w:rFonts w:ascii="Times New Roman" w:hAnsi="Times New Roman" w:cs="Times New Roman"/>
          <w:b/>
          <w:sz w:val="22"/>
          <w:szCs w:val="22"/>
        </w:rPr>
        <w:t>Influenza Vaccines</w:t>
      </w:r>
    </w:p>
    <w:p w:rsidR="006F1CD7" w:rsidRDefault="006F1CD7" w:rsidP="00231A0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rsid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r w:rsidRPr="006F1CD7">
        <w:rPr>
          <w:rFonts w:ascii="Times New Roman" w:hAnsi="Times New Roman" w:cs="Times New Roman"/>
          <w:sz w:val="22"/>
          <w:szCs w:val="22"/>
        </w:rPr>
        <w:t>a.</w:t>
      </w:r>
      <w:r w:rsidRPr="006F1CD7">
        <w:rPr>
          <w:rFonts w:ascii="Times New Roman" w:hAnsi="Times New Roman" w:cs="Times New Roman"/>
          <w:sz w:val="22"/>
          <w:szCs w:val="22"/>
        </w:rPr>
        <w:tab/>
        <w:t>At least one preservative free, single dose vial presentation</w:t>
      </w:r>
    </w:p>
    <w:p w:rsidR="006F1CD7" w:rsidRDefault="006F1CD7"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
    <w:p w:rsid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r w:rsidRPr="006F1CD7">
        <w:rPr>
          <w:rFonts w:ascii="Times New Roman" w:hAnsi="Times New Roman" w:cs="Times New Roman"/>
          <w:sz w:val="22"/>
          <w:szCs w:val="22"/>
        </w:rPr>
        <w:t>b.</w:t>
      </w:r>
      <w:r w:rsidRPr="006F1CD7">
        <w:rPr>
          <w:rFonts w:ascii="Times New Roman" w:hAnsi="Times New Roman" w:cs="Times New Roman"/>
          <w:sz w:val="22"/>
          <w:szCs w:val="22"/>
        </w:rPr>
        <w:tab/>
        <w:t xml:space="preserve">At least one </w:t>
      </w:r>
      <w:proofErr w:type="spellStart"/>
      <w:r w:rsidRPr="006F1CD7">
        <w:rPr>
          <w:rFonts w:ascii="Times New Roman" w:hAnsi="Times New Roman" w:cs="Times New Roman"/>
          <w:sz w:val="22"/>
          <w:szCs w:val="22"/>
        </w:rPr>
        <w:t>multidose</w:t>
      </w:r>
      <w:proofErr w:type="spellEnd"/>
      <w:r w:rsidRPr="006F1CD7">
        <w:rPr>
          <w:rFonts w:ascii="Times New Roman" w:hAnsi="Times New Roman" w:cs="Times New Roman"/>
          <w:sz w:val="22"/>
          <w:szCs w:val="22"/>
        </w:rPr>
        <w:t xml:space="preserve"> vial presentation</w:t>
      </w:r>
    </w:p>
    <w:p w:rsidR="003702D1" w:rsidRP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p>
    <w:p w:rsidR="006F1CD7" w:rsidRDefault="003702D1" w:rsidP="00231A06">
      <w:pPr>
        <w:pStyle w:val="PlainText"/>
        <w:tabs>
          <w:tab w:val="left" w:pos="720"/>
          <w:tab w:val="left" w:pos="1440"/>
          <w:tab w:val="left" w:pos="2160"/>
          <w:tab w:val="left" w:pos="2880"/>
          <w:tab w:val="left" w:pos="3600"/>
          <w:tab w:val="left" w:pos="4320"/>
        </w:tabs>
        <w:ind w:left="1440" w:firstLine="720"/>
        <w:rPr>
          <w:rFonts w:ascii="Times New Roman" w:hAnsi="Times New Roman" w:cs="Times New Roman"/>
          <w:sz w:val="22"/>
          <w:szCs w:val="22"/>
        </w:rPr>
      </w:pPr>
      <w:r w:rsidRPr="006F1CD7">
        <w:rPr>
          <w:rFonts w:ascii="Times New Roman" w:hAnsi="Times New Roman" w:cs="Times New Roman"/>
          <w:sz w:val="22"/>
          <w:szCs w:val="22"/>
        </w:rPr>
        <w:t>c.</w:t>
      </w:r>
      <w:r w:rsidRPr="006F1CD7">
        <w:rPr>
          <w:rFonts w:ascii="Times New Roman" w:hAnsi="Times New Roman" w:cs="Times New Roman"/>
          <w:sz w:val="22"/>
          <w:szCs w:val="22"/>
        </w:rPr>
        <w:tab/>
        <w:t xml:space="preserve">At least one Influenza vaccine live </w:t>
      </w:r>
      <w:proofErr w:type="gramStart"/>
      <w:r w:rsidRPr="006F1CD7">
        <w:rPr>
          <w:rFonts w:ascii="Times New Roman" w:hAnsi="Times New Roman" w:cs="Times New Roman"/>
          <w:sz w:val="22"/>
          <w:szCs w:val="22"/>
        </w:rPr>
        <w:t>Intranasal</w:t>
      </w:r>
      <w:proofErr w:type="gramEnd"/>
      <w:r w:rsidRPr="006F1CD7">
        <w:rPr>
          <w:rFonts w:ascii="Times New Roman" w:hAnsi="Times New Roman" w:cs="Times New Roman"/>
          <w:sz w:val="22"/>
          <w:szCs w:val="22"/>
        </w:rPr>
        <w:t xml:space="preserve"> presentation</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986FEC">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6F1CD7">
        <w:rPr>
          <w:rFonts w:ascii="Times New Roman" w:hAnsi="Times New Roman" w:cs="Times New Roman"/>
          <w:sz w:val="22"/>
          <w:szCs w:val="22"/>
        </w:rPr>
        <w:t>B.</w:t>
      </w:r>
      <w:r w:rsidRPr="006F1CD7">
        <w:rPr>
          <w:rFonts w:ascii="Times New Roman" w:hAnsi="Times New Roman" w:cs="Times New Roman"/>
          <w:sz w:val="22"/>
          <w:szCs w:val="22"/>
        </w:rPr>
        <w:tab/>
      </w:r>
      <w:r w:rsidRPr="00986FEC">
        <w:rPr>
          <w:rFonts w:ascii="Times New Roman" w:hAnsi="Times New Roman" w:cs="Times New Roman"/>
          <w:b/>
          <w:sz w:val="22"/>
          <w:szCs w:val="22"/>
        </w:rPr>
        <w:t>Uniform Vaccine Lists in Subsequent Years</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986FEC" w:rsidP="00986FE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3702D1" w:rsidRPr="006F1CD7">
        <w:rPr>
          <w:rFonts w:ascii="Times New Roman" w:hAnsi="Times New Roman" w:cs="Times New Roman"/>
          <w:sz w:val="22"/>
          <w:szCs w:val="22"/>
        </w:rPr>
        <w:t>The Board shall annually review new vaccines and vaccines not on the authorized list and determine the feasibility of either adding or removing vaccines to or from the authorized uniform list in accordance with the criteria established in section II(B).</w:t>
      </w:r>
    </w:p>
    <w:p w:rsidR="003702D1" w:rsidRPr="006F1CD7" w:rsidRDefault="003702D1" w:rsidP="00986FE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Pr="006F1CD7" w:rsidRDefault="00986FEC" w:rsidP="00986FE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3702D1" w:rsidRPr="006F1CD7">
        <w:rPr>
          <w:rFonts w:ascii="Times New Roman" w:hAnsi="Times New Roman" w:cs="Times New Roman"/>
          <w:sz w:val="22"/>
          <w:szCs w:val="22"/>
        </w:rPr>
        <w:t>In the event the Board</w:t>
      </w:r>
      <w:r w:rsidR="006F1CD7">
        <w:rPr>
          <w:rFonts w:ascii="Times New Roman" w:hAnsi="Times New Roman" w:cs="Times New Roman"/>
          <w:sz w:val="22"/>
          <w:szCs w:val="22"/>
        </w:rPr>
        <w:t xml:space="preserve"> </w:t>
      </w:r>
      <w:r w:rsidR="003702D1" w:rsidRPr="006F1CD7">
        <w:rPr>
          <w:rFonts w:ascii="Times New Roman" w:hAnsi="Times New Roman" w:cs="Times New Roman"/>
          <w:sz w:val="22"/>
          <w:szCs w:val="22"/>
        </w:rPr>
        <w:t>whether as a result of the above annual review or for any other reason determined appropriate by the Board,</w:t>
      </w:r>
      <w:r w:rsidR="006F1CD7">
        <w:rPr>
          <w:rFonts w:ascii="Times New Roman" w:hAnsi="Times New Roman" w:cs="Times New Roman"/>
          <w:sz w:val="22"/>
          <w:szCs w:val="22"/>
        </w:rPr>
        <w:t xml:space="preserve"> </w:t>
      </w:r>
      <w:r w:rsidR="003702D1" w:rsidRPr="006F1CD7">
        <w:rPr>
          <w:rFonts w:ascii="Times New Roman" w:hAnsi="Times New Roman" w:cs="Times New Roman"/>
          <w:sz w:val="22"/>
          <w:szCs w:val="22"/>
        </w:rPr>
        <w:t xml:space="preserve">determines that revision of the authorized list of uniform vaccines is warranted, it may revise the uniform vaccine list by appropriate Board vote after conducting a public hearing in accordance with 5 M.R.S.A. §8052(2), provided any revision of the list of uniform vaccines be consistent with the criteria established in 22 M.R.S.A. §1066(3)(E) and Section 2(B) of these Rules. </w:t>
      </w:r>
    </w:p>
    <w:p w:rsidR="003702D1" w:rsidRPr="006F1CD7" w:rsidRDefault="003702D1" w:rsidP="00986FE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Pr="006F1CD7" w:rsidRDefault="00986FEC" w:rsidP="00986FE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3702D1" w:rsidRPr="006F1CD7">
        <w:rPr>
          <w:rFonts w:ascii="Times New Roman" w:hAnsi="Times New Roman" w:cs="Times New Roman"/>
          <w:sz w:val="22"/>
          <w:szCs w:val="22"/>
        </w:rPr>
        <w:t>Any revision of the uniform childhood vaccine list is contingent upon the availability of adequate funding through the assessment mechanism established by 22 M.R.S.A. §1066(5).</w:t>
      </w:r>
    </w:p>
    <w:p w:rsidR="003702D1" w:rsidRPr="006F1CD7" w:rsidRDefault="003702D1" w:rsidP="00986FE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Pr="006F1CD7" w:rsidRDefault="003702D1" w:rsidP="00986FE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F1CD7">
        <w:rPr>
          <w:rFonts w:ascii="Times New Roman" w:hAnsi="Times New Roman" w:cs="Times New Roman"/>
          <w:sz w:val="22"/>
          <w:szCs w:val="22"/>
        </w:rPr>
        <w:t>4.</w:t>
      </w:r>
      <w:r w:rsidR="00986FEC">
        <w:rPr>
          <w:rFonts w:ascii="Times New Roman" w:hAnsi="Times New Roman" w:cs="Times New Roman"/>
          <w:sz w:val="22"/>
          <w:szCs w:val="22"/>
        </w:rPr>
        <w:tab/>
      </w:r>
      <w:r w:rsidRPr="006F1CD7">
        <w:rPr>
          <w:rFonts w:ascii="Times New Roman" w:hAnsi="Times New Roman" w:cs="Times New Roman"/>
          <w:sz w:val="22"/>
          <w:szCs w:val="22"/>
        </w:rPr>
        <w:t xml:space="preserve">The Authorized List of Uniform Childhood Vaccines shall be published on the Maine Vaccine Board Website at: http://www.mevaccine.org/mevaccine.nsf/pages/for-providers.html </w:t>
      </w:r>
    </w:p>
    <w:p w:rsidR="003702D1" w:rsidRPr="006F1CD7" w:rsidRDefault="003702D1" w:rsidP="00986FE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Pr="006F1CD7" w:rsidRDefault="00986FEC" w:rsidP="00986FEC">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3702D1" w:rsidRPr="006F1CD7">
        <w:rPr>
          <w:rFonts w:ascii="Times New Roman" w:hAnsi="Times New Roman" w:cs="Times New Roman"/>
          <w:sz w:val="22"/>
          <w:szCs w:val="22"/>
        </w:rPr>
        <w:t xml:space="preserve">In the event that the ACIP modifies existing product recommendations or adds a new vaccine product to the Vaccines for Children program, the Board shall meet within 90 days of the ACIP decision and determine if modifications to the authorized list of uniform vaccines is warranted. </w:t>
      </w:r>
    </w:p>
    <w:p w:rsidR="003702D1"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3A4361"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A4361">
        <w:rPr>
          <w:rFonts w:ascii="Times New Roman" w:hAnsi="Times New Roman" w:cs="Times New Roman"/>
          <w:b/>
          <w:sz w:val="22"/>
          <w:szCs w:val="22"/>
        </w:rPr>
        <w:t>IV.</w:t>
      </w:r>
      <w:r w:rsidRPr="003A4361">
        <w:rPr>
          <w:rFonts w:ascii="Times New Roman" w:hAnsi="Times New Roman" w:cs="Times New Roman"/>
          <w:b/>
          <w:sz w:val="22"/>
          <w:szCs w:val="22"/>
        </w:rPr>
        <w:tab/>
        <w:t>Interim Modifications to Uniform Vaccine List</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3A4361">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6F1CD7">
        <w:rPr>
          <w:rFonts w:ascii="Times New Roman" w:hAnsi="Times New Roman" w:cs="Times New Roman"/>
          <w:sz w:val="22"/>
          <w:szCs w:val="22"/>
        </w:rPr>
        <w:t xml:space="preserve">The Board shall periodically review new vaccines and vaccines not on the authorized list and determine the feasibility of either adding or removing vaccines to or from the authorized uniform list in accordance with the criteria established in section </w:t>
      </w:r>
      <w:proofErr w:type="gramStart"/>
      <w:r w:rsidRPr="006F1CD7">
        <w:rPr>
          <w:rFonts w:ascii="Times New Roman" w:hAnsi="Times New Roman" w:cs="Times New Roman"/>
          <w:sz w:val="22"/>
          <w:szCs w:val="22"/>
        </w:rPr>
        <w:t>II(</w:t>
      </w:r>
      <w:proofErr w:type="gramEnd"/>
      <w:r w:rsidRPr="006F1CD7">
        <w:rPr>
          <w:rFonts w:ascii="Times New Roman" w:hAnsi="Times New Roman" w:cs="Times New Roman"/>
          <w:sz w:val="22"/>
          <w:szCs w:val="22"/>
        </w:rPr>
        <w:t>B).</w:t>
      </w:r>
    </w:p>
    <w:p w:rsidR="003702D1" w:rsidRPr="006F1CD7" w:rsidRDefault="003702D1" w:rsidP="003A4361">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rsidR="003702D1" w:rsidRPr="006F1CD7" w:rsidRDefault="003702D1" w:rsidP="003A4361">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6F1CD7">
        <w:rPr>
          <w:rFonts w:ascii="Times New Roman" w:hAnsi="Times New Roman" w:cs="Times New Roman"/>
          <w:sz w:val="22"/>
          <w:szCs w:val="22"/>
        </w:rPr>
        <w:t>In the event the Board determines that revision of the authorized list of uniform vaccines is necessary to protect public health prior to revision of the authorized list through rulemaking, it may revise the authorized list on an interim basis, not to exceed 18 months, in accordance with the procedure established by subsection IV(C), provided that any interim revisions be included in the next scheduled Board rulemaking regarding uniform childhood vaccines.</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3A4361">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6F1CD7">
        <w:rPr>
          <w:rFonts w:ascii="Times New Roman" w:hAnsi="Times New Roman" w:cs="Times New Roman"/>
          <w:sz w:val="22"/>
          <w:szCs w:val="22"/>
        </w:rPr>
        <w:t>The board may revise on an interim basis the authorized uniform list of childhood vaccines after conducting a public hearing in accordance with the requirements of 5°M.R.S.A. §8052(2).</w:t>
      </w:r>
    </w:p>
    <w:p w:rsidR="003702D1" w:rsidRPr="006F1CD7" w:rsidRDefault="003702D1" w:rsidP="003A4361">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rsidR="003702D1" w:rsidRPr="006F1CD7" w:rsidRDefault="003702D1" w:rsidP="003A4361">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6F1CD7">
        <w:rPr>
          <w:rFonts w:ascii="Times New Roman" w:hAnsi="Times New Roman" w:cs="Times New Roman"/>
          <w:sz w:val="22"/>
          <w:szCs w:val="22"/>
        </w:rPr>
        <w:t>Any revision of the uniform childhood vaccine list is contingent upon the availability of adequate funding through the assessment mechanism established by 22 M.R.S.A. §1066(5).</w:t>
      </w:r>
    </w:p>
    <w:p w:rsidR="003702D1"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3A4361" w:rsidRDefault="003A4361" w:rsidP="006F1CD7">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A4361">
        <w:rPr>
          <w:rFonts w:ascii="Times New Roman" w:hAnsi="Times New Roman" w:cs="Times New Roman"/>
          <w:b/>
          <w:sz w:val="22"/>
          <w:szCs w:val="22"/>
        </w:rPr>
        <w:t>IV</w:t>
      </w:r>
      <w:r w:rsidR="003702D1" w:rsidRPr="003A4361">
        <w:rPr>
          <w:rFonts w:ascii="Times New Roman" w:hAnsi="Times New Roman" w:cs="Times New Roman"/>
          <w:b/>
          <w:sz w:val="22"/>
          <w:szCs w:val="22"/>
        </w:rPr>
        <w:tab/>
        <w:t>Determining the total vaccine cost for the program §1066(5</w:t>
      </w:r>
      <w:proofErr w:type="gramStart"/>
      <w:r w:rsidR="003702D1" w:rsidRPr="003A4361">
        <w:rPr>
          <w:rFonts w:ascii="Times New Roman" w:hAnsi="Times New Roman" w:cs="Times New Roman"/>
          <w:b/>
          <w:sz w:val="22"/>
          <w:szCs w:val="22"/>
        </w:rPr>
        <w:t>)(</w:t>
      </w:r>
      <w:proofErr w:type="gramEnd"/>
      <w:r w:rsidR="003702D1" w:rsidRPr="003A4361">
        <w:rPr>
          <w:rFonts w:ascii="Times New Roman" w:hAnsi="Times New Roman" w:cs="Times New Roman"/>
          <w:b/>
          <w:sz w:val="22"/>
          <w:szCs w:val="22"/>
        </w:rPr>
        <w:t>A)(1)</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3A436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F1CD7">
        <w:rPr>
          <w:rFonts w:ascii="Times New Roman" w:hAnsi="Times New Roman" w:cs="Times New Roman"/>
          <w:sz w:val="22"/>
          <w:szCs w:val="22"/>
        </w:rPr>
        <w:t>A.</w:t>
      </w:r>
      <w:r w:rsidRPr="006F1CD7">
        <w:rPr>
          <w:rFonts w:ascii="Times New Roman" w:hAnsi="Times New Roman" w:cs="Times New Roman"/>
          <w:sz w:val="22"/>
          <w:szCs w:val="22"/>
        </w:rPr>
        <w:tab/>
        <w:t>The Department will estimate the total vaccine cost for the succeeding year based on age-cohort population estimates, the ACIP vaccination schedule, the list of vaccines determined by the board and projected immunization rates.</w:t>
      </w:r>
    </w:p>
    <w:p w:rsidR="003702D1" w:rsidRPr="006F1CD7" w:rsidRDefault="003702D1" w:rsidP="003A436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3702D1" w:rsidRPr="006F1CD7" w:rsidRDefault="003702D1" w:rsidP="003A436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F1CD7">
        <w:rPr>
          <w:rFonts w:ascii="Times New Roman" w:hAnsi="Times New Roman" w:cs="Times New Roman"/>
          <w:sz w:val="22"/>
          <w:szCs w:val="22"/>
        </w:rPr>
        <w:t>B.</w:t>
      </w:r>
      <w:r w:rsidRPr="006F1CD7">
        <w:rPr>
          <w:rFonts w:ascii="Times New Roman" w:hAnsi="Times New Roman" w:cs="Times New Roman"/>
          <w:sz w:val="22"/>
          <w:szCs w:val="22"/>
        </w:rPr>
        <w:tab/>
        <w:t>The Department will provide the Board with a projected vaccine cost for the succeeding year to be included in the assessment.</w:t>
      </w:r>
    </w:p>
    <w:p w:rsidR="003702D1" w:rsidRPr="006F1CD7" w:rsidRDefault="003702D1" w:rsidP="003A436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3702D1" w:rsidRPr="006F1CD7" w:rsidRDefault="003702D1" w:rsidP="003A436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F1CD7">
        <w:rPr>
          <w:rFonts w:ascii="Times New Roman" w:hAnsi="Times New Roman" w:cs="Times New Roman"/>
          <w:sz w:val="22"/>
          <w:szCs w:val="22"/>
        </w:rPr>
        <w:t>C.</w:t>
      </w:r>
      <w:r w:rsidRPr="006F1CD7">
        <w:rPr>
          <w:rFonts w:ascii="Times New Roman" w:hAnsi="Times New Roman" w:cs="Times New Roman"/>
          <w:sz w:val="22"/>
          <w:szCs w:val="22"/>
        </w:rPr>
        <w:tab/>
        <w:t>The Department will review vaccine usage projections and actual usage throughout the year to assure that the program remains within budget. The Department will provide quarterly reports to the board on vaccine usage and budget projections.</w:t>
      </w:r>
    </w:p>
    <w:p w:rsidR="003702D1" w:rsidRPr="006F1CD7" w:rsidRDefault="003702D1" w:rsidP="003A436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3702D1" w:rsidRPr="006F1CD7" w:rsidRDefault="003702D1" w:rsidP="003A436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F1CD7">
        <w:rPr>
          <w:rFonts w:ascii="Times New Roman" w:hAnsi="Times New Roman" w:cs="Times New Roman"/>
          <w:sz w:val="22"/>
          <w:szCs w:val="22"/>
        </w:rPr>
        <w:t>D.</w:t>
      </w:r>
      <w:r w:rsidRPr="006F1CD7">
        <w:rPr>
          <w:rFonts w:ascii="Times New Roman" w:hAnsi="Times New Roman" w:cs="Times New Roman"/>
          <w:sz w:val="22"/>
          <w:szCs w:val="22"/>
        </w:rPr>
        <w:tab/>
        <w:t>The Department will promptly notify the Board in the event of a vaccine shortage or other disruption of the vaccine supply that will affect the vaccine budget.</w:t>
      </w:r>
    </w:p>
    <w:p w:rsidR="003702D1"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3A4361"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3A4361">
        <w:rPr>
          <w:rFonts w:ascii="Times New Roman" w:hAnsi="Times New Roman" w:cs="Times New Roman"/>
          <w:b/>
          <w:sz w:val="22"/>
          <w:szCs w:val="22"/>
        </w:rPr>
        <w:t>V.</w:t>
      </w:r>
      <w:r w:rsidRPr="003A4361">
        <w:rPr>
          <w:rFonts w:ascii="Times New Roman" w:hAnsi="Times New Roman" w:cs="Times New Roman"/>
          <w:b/>
          <w:sz w:val="22"/>
          <w:szCs w:val="22"/>
        </w:rPr>
        <w:tab/>
        <w:t xml:space="preserve">Appeals </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3A4361">
      <w:pPr>
        <w:pStyle w:val="PlainText"/>
        <w:tabs>
          <w:tab w:val="left" w:pos="720"/>
          <w:tab w:val="left" w:pos="1440"/>
          <w:tab w:val="left" w:pos="2880"/>
          <w:tab w:val="left" w:pos="3600"/>
          <w:tab w:val="left" w:pos="4320"/>
        </w:tabs>
        <w:ind w:left="1440" w:hanging="1440"/>
        <w:rPr>
          <w:rFonts w:ascii="Times New Roman" w:hAnsi="Times New Roman" w:cs="Times New Roman"/>
          <w:sz w:val="22"/>
          <w:szCs w:val="22"/>
        </w:rPr>
      </w:pPr>
      <w:r w:rsidRPr="006F1CD7">
        <w:rPr>
          <w:rFonts w:ascii="Times New Roman" w:hAnsi="Times New Roman" w:cs="Times New Roman"/>
          <w:sz w:val="22"/>
          <w:szCs w:val="22"/>
        </w:rPr>
        <w:tab/>
        <w:t>A.</w:t>
      </w:r>
      <w:r w:rsidR="003A4361">
        <w:rPr>
          <w:rFonts w:ascii="Times New Roman" w:hAnsi="Times New Roman" w:cs="Times New Roman"/>
          <w:sz w:val="22"/>
          <w:szCs w:val="22"/>
        </w:rPr>
        <w:tab/>
      </w:r>
      <w:r w:rsidRPr="003A4361">
        <w:rPr>
          <w:rFonts w:ascii="Times New Roman" w:hAnsi="Times New Roman" w:cs="Times New Roman"/>
          <w:b/>
          <w:sz w:val="22"/>
          <w:szCs w:val="22"/>
        </w:rPr>
        <w:t>General Provisions</w:t>
      </w:r>
      <w:r w:rsidRPr="006F1CD7">
        <w:rPr>
          <w:rFonts w:ascii="Times New Roman" w:hAnsi="Times New Roman" w:cs="Times New Roman"/>
          <w:sz w:val="22"/>
          <w:szCs w:val="22"/>
        </w:rPr>
        <w:t>.</w:t>
      </w:r>
      <w:r w:rsidR="006F1CD7">
        <w:rPr>
          <w:rFonts w:ascii="Times New Roman" w:hAnsi="Times New Roman" w:cs="Times New Roman"/>
          <w:sz w:val="22"/>
          <w:szCs w:val="22"/>
        </w:rPr>
        <w:t xml:space="preserve"> </w:t>
      </w:r>
      <w:r w:rsidRPr="006F1CD7">
        <w:rPr>
          <w:rFonts w:ascii="Times New Roman" w:hAnsi="Times New Roman" w:cs="Times New Roman"/>
          <w:sz w:val="22"/>
          <w:szCs w:val="22"/>
        </w:rPr>
        <w:t xml:space="preserve">A party aggrieved by a Board decision or action has recourse to administrative review in accordance with the provisions of the Maine Administrative Procedure Act, 5 M.R.S.A. Chapter 375, </w:t>
      </w:r>
      <w:proofErr w:type="gramStart"/>
      <w:r w:rsidRPr="006F1CD7">
        <w:rPr>
          <w:rFonts w:ascii="Times New Roman" w:hAnsi="Times New Roman" w:cs="Times New Roman"/>
          <w:sz w:val="22"/>
          <w:szCs w:val="22"/>
        </w:rPr>
        <w:t>Subchapter</w:t>
      </w:r>
      <w:proofErr w:type="gramEnd"/>
      <w:r w:rsidRPr="006F1CD7">
        <w:rPr>
          <w:rFonts w:ascii="Times New Roman" w:hAnsi="Times New Roman" w:cs="Times New Roman"/>
          <w:sz w:val="22"/>
          <w:szCs w:val="22"/>
        </w:rPr>
        <w:t xml:space="preserve"> IV. </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A4361" w:rsidP="003A4361">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3702D1" w:rsidRPr="003A4361">
        <w:rPr>
          <w:rFonts w:ascii="Times New Roman" w:hAnsi="Times New Roman" w:cs="Times New Roman"/>
          <w:b/>
          <w:sz w:val="22"/>
          <w:szCs w:val="22"/>
        </w:rPr>
        <w:t>Procedure for Securing Administrative Review</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Default="003702D1"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F1CD7">
        <w:rPr>
          <w:rFonts w:ascii="Times New Roman" w:hAnsi="Times New Roman" w:cs="Times New Roman"/>
          <w:sz w:val="22"/>
          <w:szCs w:val="22"/>
        </w:rPr>
        <w:t>1.</w:t>
      </w:r>
      <w:r w:rsidR="00D52398">
        <w:rPr>
          <w:rFonts w:ascii="Times New Roman" w:hAnsi="Times New Roman" w:cs="Times New Roman"/>
          <w:sz w:val="22"/>
          <w:szCs w:val="22"/>
        </w:rPr>
        <w:tab/>
      </w:r>
      <w:r w:rsidRPr="006F1CD7">
        <w:rPr>
          <w:rFonts w:ascii="Times New Roman" w:hAnsi="Times New Roman" w:cs="Times New Roman"/>
          <w:sz w:val="22"/>
          <w:szCs w:val="22"/>
        </w:rPr>
        <w:t>A person aggrieved by a Board decision or action may request administrative review by filing a written request for administrative review with the Maine Vaccine Board, c/o Maine Center for Disease Control and Prevention, Division of Infectious Disease Control, Department of Health and Human Services, 11</w:t>
      </w:r>
      <w:r w:rsidR="00D52398">
        <w:rPr>
          <w:rFonts w:ascii="Times New Roman" w:hAnsi="Times New Roman" w:cs="Times New Roman"/>
          <w:sz w:val="22"/>
          <w:szCs w:val="22"/>
        </w:rPr>
        <w:t> </w:t>
      </w:r>
      <w:r w:rsidRPr="006F1CD7">
        <w:rPr>
          <w:rFonts w:ascii="Times New Roman" w:hAnsi="Times New Roman" w:cs="Times New Roman"/>
          <w:sz w:val="22"/>
          <w:szCs w:val="22"/>
        </w:rPr>
        <w:t>State House Station, Augusta, ME 04333-0011.</w:t>
      </w:r>
    </w:p>
    <w:p w:rsidR="003702D1" w:rsidRPr="006F1CD7" w:rsidRDefault="003702D1"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Default="00D52398"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3702D1" w:rsidRPr="006F1CD7">
        <w:rPr>
          <w:rFonts w:ascii="Times New Roman" w:hAnsi="Times New Roman" w:cs="Times New Roman"/>
          <w:sz w:val="22"/>
          <w:szCs w:val="22"/>
        </w:rPr>
        <w:t>A written request for administrative review shall identify the decision or action under challenge, and the issue or issues which form the ba</w:t>
      </w:r>
      <w:r>
        <w:rPr>
          <w:rFonts w:ascii="Times New Roman" w:hAnsi="Times New Roman" w:cs="Times New Roman"/>
          <w:sz w:val="22"/>
          <w:szCs w:val="22"/>
        </w:rPr>
        <w:t xml:space="preserve">sis for review. </w:t>
      </w:r>
    </w:p>
    <w:p w:rsidR="003702D1" w:rsidRPr="006F1CD7" w:rsidRDefault="003702D1"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Default="00D52398"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3702D1" w:rsidRPr="006F1CD7">
        <w:rPr>
          <w:rFonts w:ascii="Times New Roman" w:hAnsi="Times New Roman" w:cs="Times New Roman"/>
          <w:sz w:val="22"/>
          <w:szCs w:val="22"/>
        </w:rPr>
        <w:t xml:space="preserve">The written request for administrative review must be filed with the Board no later than thirty days after the Board decision or action which is the subject of the appeal. </w:t>
      </w:r>
    </w:p>
    <w:p w:rsidR="003702D1" w:rsidRPr="006F1CD7" w:rsidRDefault="003702D1"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Default="00D52398"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3702D1" w:rsidRPr="006F1CD7">
        <w:rPr>
          <w:rFonts w:ascii="Times New Roman" w:hAnsi="Times New Roman" w:cs="Times New Roman"/>
          <w:sz w:val="22"/>
          <w:szCs w:val="22"/>
        </w:rPr>
        <w:t>Upon the timely filing of a request for administrative review, the Board shall determine whether or not the decision or action under challenge is appropriate for administrative review and notify the appellant in writing in timely fashion.</w:t>
      </w:r>
    </w:p>
    <w:p w:rsidR="003702D1" w:rsidRPr="006F1CD7" w:rsidRDefault="003702D1"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Default="00D52398"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3702D1" w:rsidRPr="006F1CD7">
        <w:rPr>
          <w:rFonts w:ascii="Times New Roman" w:hAnsi="Times New Roman" w:cs="Times New Roman"/>
          <w:sz w:val="22"/>
          <w:szCs w:val="22"/>
        </w:rPr>
        <w:t>In the event the Board determines a request for administrative review is appropriate, it shall promptly schedule an administrative review hearing.</w:t>
      </w:r>
    </w:p>
    <w:p w:rsidR="003702D1" w:rsidRPr="006F1CD7" w:rsidRDefault="003702D1"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Default="00D52398"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3702D1" w:rsidRPr="006F1CD7">
        <w:rPr>
          <w:rFonts w:ascii="Times New Roman" w:hAnsi="Times New Roman" w:cs="Times New Roman"/>
          <w:sz w:val="22"/>
          <w:szCs w:val="22"/>
        </w:rPr>
        <w:t xml:space="preserve">Any administrative hearing shall be conducted in accordance with the requirements of the Maine Administrative Procedure Act, 5 M.R.S.A. Chapter 375, </w:t>
      </w:r>
      <w:proofErr w:type="gramStart"/>
      <w:r w:rsidR="003702D1" w:rsidRPr="006F1CD7">
        <w:rPr>
          <w:rFonts w:ascii="Times New Roman" w:hAnsi="Times New Roman" w:cs="Times New Roman"/>
          <w:sz w:val="22"/>
          <w:szCs w:val="22"/>
        </w:rPr>
        <w:t>Subchapter</w:t>
      </w:r>
      <w:proofErr w:type="gramEnd"/>
      <w:r w:rsidR="003702D1" w:rsidRPr="006F1CD7">
        <w:rPr>
          <w:rFonts w:ascii="Times New Roman" w:hAnsi="Times New Roman" w:cs="Times New Roman"/>
          <w:sz w:val="22"/>
          <w:szCs w:val="22"/>
        </w:rPr>
        <w:t xml:space="preserve"> IV.</w:t>
      </w:r>
    </w:p>
    <w:p w:rsidR="003702D1" w:rsidRPr="006F1CD7" w:rsidRDefault="003702D1"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3702D1" w:rsidRPr="006F1CD7" w:rsidRDefault="00D52398" w:rsidP="00D52398">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3702D1" w:rsidRPr="006F1CD7">
        <w:rPr>
          <w:rFonts w:ascii="Times New Roman" w:hAnsi="Times New Roman" w:cs="Times New Roman"/>
          <w:sz w:val="22"/>
          <w:szCs w:val="22"/>
        </w:rPr>
        <w:t xml:space="preserve">In the event a request for administrative review is granted, the Board shall designate an Administrative Hearing Officer, who shall provide appropriate notice of the hearing date, conduct the administrative review hearing, and issue a written decision upon the close of evidence, all in accordance with the relevant provisions of the Maine Administrative Procedure Act. The Maine Vaccine Board decision after administrative review shall be considered final agency action. </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D52398" w:rsidP="00D52398">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3702D1" w:rsidRPr="00D52398">
        <w:rPr>
          <w:rFonts w:ascii="Times New Roman" w:hAnsi="Times New Roman" w:cs="Times New Roman"/>
          <w:b/>
          <w:sz w:val="22"/>
          <w:szCs w:val="22"/>
        </w:rPr>
        <w:t>Judicial Review</w:t>
      </w:r>
    </w:p>
    <w:p w:rsidR="006F1CD7" w:rsidRDefault="006F1CD7"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D52398" w:rsidP="00D52398">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3702D1" w:rsidRPr="006F1CD7">
        <w:rPr>
          <w:rFonts w:ascii="Times New Roman" w:hAnsi="Times New Roman" w:cs="Times New Roman"/>
          <w:sz w:val="22"/>
          <w:szCs w:val="22"/>
        </w:rPr>
        <w:t>A party aggrieved by final agency action of the Maine Vaccine Board has recourse to judicial review in accordance with 5 M.R.S.A. §§ 11001-11008 and Rule 80C of</w:t>
      </w:r>
      <w:r>
        <w:rPr>
          <w:rFonts w:ascii="Times New Roman" w:hAnsi="Times New Roman" w:cs="Times New Roman"/>
          <w:sz w:val="22"/>
          <w:szCs w:val="22"/>
        </w:rPr>
        <w:t xml:space="preserve"> </w:t>
      </w:r>
      <w:r w:rsidR="003702D1" w:rsidRPr="006F1CD7">
        <w:rPr>
          <w:rFonts w:ascii="Times New Roman" w:hAnsi="Times New Roman" w:cs="Times New Roman"/>
          <w:sz w:val="22"/>
          <w:szCs w:val="22"/>
        </w:rPr>
        <w:t xml:space="preserve">the Maine Rules of Civil Procedure. </w:t>
      </w:r>
    </w:p>
    <w:p w:rsidR="003702D1" w:rsidRPr="006F1CD7" w:rsidRDefault="003702D1" w:rsidP="00D52398">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6F1CD7">
        <w:rPr>
          <w:rFonts w:ascii="Times New Roman" w:hAnsi="Times New Roman" w:cs="Times New Roman"/>
          <w:sz w:val="22"/>
          <w:szCs w:val="22"/>
        </w:rPr>
        <w:t>STATUTORY AUTHORITY: 22 M.R.S.A. §1066</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6F1CD7">
        <w:rPr>
          <w:rFonts w:ascii="Times New Roman" w:hAnsi="Times New Roman" w:cs="Times New Roman"/>
          <w:sz w:val="22"/>
          <w:szCs w:val="22"/>
        </w:rPr>
        <w:t>EFFECTIVE DATE:</w:t>
      </w:r>
    </w:p>
    <w:p w:rsidR="003702D1" w:rsidRPr="006F1CD7" w:rsidRDefault="003702D1" w:rsidP="00D52398">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2"/>
          <w:szCs w:val="22"/>
        </w:rPr>
      </w:pPr>
      <w:r w:rsidRPr="006F1CD7">
        <w:rPr>
          <w:rFonts w:ascii="Times New Roman" w:hAnsi="Times New Roman" w:cs="Times New Roman"/>
          <w:sz w:val="22"/>
          <w:szCs w:val="22"/>
        </w:rPr>
        <w:tab/>
        <w:t>February 24, 2011 –</w:t>
      </w:r>
      <w:r w:rsidRPr="006F1CD7">
        <w:rPr>
          <w:rFonts w:ascii="Times New Roman" w:hAnsi="Times New Roman" w:cs="Times New Roman"/>
          <w:sz w:val="22"/>
          <w:szCs w:val="22"/>
        </w:rPr>
        <w:tab/>
        <w:t>filing 2011-58 (EMERGENCY) (filed under 10-144, Department of Health and Human Services)</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6F1CD7">
        <w:rPr>
          <w:rFonts w:ascii="Times New Roman" w:hAnsi="Times New Roman" w:cs="Times New Roman"/>
          <w:sz w:val="22"/>
          <w:szCs w:val="22"/>
        </w:rPr>
        <w:tab/>
        <w:t>July 15, 2011 – filing 2011-210</w:t>
      </w:r>
    </w:p>
    <w:p w:rsidR="00D52398" w:rsidRDefault="00D52398"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D52398" w:rsidRDefault="00D52398"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AMENDED:</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6F1CD7">
        <w:rPr>
          <w:rFonts w:ascii="Times New Roman" w:hAnsi="Times New Roman" w:cs="Times New Roman"/>
          <w:sz w:val="22"/>
          <w:szCs w:val="22"/>
        </w:rPr>
        <w:tab/>
        <w:t>January 25, 2012 – relocated to 95-659, Maine Vaccine Board)</w:t>
      </w:r>
    </w:p>
    <w:p w:rsidR="003702D1" w:rsidRPr="006F1CD7" w:rsidRDefault="00D52398" w:rsidP="00D52398">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ab/>
      </w:r>
      <w:r w:rsidR="003702D1" w:rsidRPr="006F1CD7">
        <w:rPr>
          <w:rFonts w:ascii="Times New Roman" w:hAnsi="Times New Roman" w:cs="Times New Roman"/>
          <w:sz w:val="22"/>
          <w:szCs w:val="22"/>
        </w:rPr>
        <w:t xml:space="preserve">November 2, 2013 – filed jointly with the Department of Health and Human Services, Maine Center for </w:t>
      </w:r>
      <w:r w:rsidR="009E122A">
        <w:rPr>
          <w:rFonts w:ascii="Times New Roman" w:hAnsi="Times New Roman" w:cs="Times New Roman"/>
          <w:sz w:val="22"/>
          <w:szCs w:val="22"/>
        </w:rPr>
        <w:t>Disease Control – filings 2013-256, 2</w:t>
      </w:r>
      <w:bookmarkStart w:id="0" w:name="_GoBack"/>
      <w:bookmarkEnd w:id="0"/>
      <w:r w:rsidR="003702D1" w:rsidRPr="006F1CD7">
        <w:rPr>
          <w:rFonts w:ascii="Times New Roman" w:hAnsi="Times New Roman" w:cs="Times New Roman"/>
          <w:sz w:val="22"/>
          <w:szCs w:val="22"/>
        </w:rPr>
        <w:t>57</w:t>
      </w:r>
    </w:p>
    <w:p w:rsidR="003702D1" w:rsidRPr="006F1CD7" w:rsidRDefault="003702D1" w:rsidP="006F1CD7">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sectPr w:rsidR="003702D1" w:rsidRPr="006F1CD7" w:rsidSect="006F1CD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361" w:rsidRDefault="003A4361" w:rsidP="006F1CD7">
      <w:r>
        <w:separator/>
      </w:r>
    </w:p>
  </w:endnote>
  <w:endnote w:type="continuationSeparator" w:id="0">
    <w:p w:rsidR="003A4361" w:rsidRDefault="003A4361" w:rsidP="006F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361" w:rsidRDefault="003A4361" w:rsidP="006F1CD7">
      <w:r>
        <w:separator/>
      </w:r>
    </w:p>
  </w:footnote>
  <w:footnote w:type="continuationSeparator" w:id="0">
    <w:p w:rsidR="003A4361" w:rsidRDefault="003A4361" w:rsidP="006F1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361" w:rsidRPr="006F1CD7" w:rsidRDefault="003A4361" w:rsidP="006F1CD7">
    <w:pPr>
      <w:pStyle w:val="Header"/>
      <w:pBdr>
        <w:bottom w:val="single" w:sz="4" w:space="1" w:color="auto"/>
      </w:pBdr>
      <w:jc w:val="right"/>
      <w:rPr>
        <w:rFonts w:ascii="Times New Roman" w:hAnsi="Times New Roman" w:cs="Times New Roman"/>
        <w:sz w:val="18"/>
        <w:szCs w:val="18"/>
      </w:rPr>
    </w:pPr>
    <w:r w:rsidRPr="006F1CD7">
      <w:rPr>
        <w:rFonts w:ascii="Times New Roman" w:hAnsi="Times New Roman" w:cs="Times New Roman"/>
        <w:sz w:val="18"/>
        <w:szCs w:val="18"/>
      </w:rPr>
      <w:t>95-659 Chapter 248</w:t>
    </w:r>
    <w:r>
      <w:rPr>
        <w:rFonts w:ascii="Times New Roman" w:hAnsi="Times New Roman" w:cs="Times New Roman"/>
        <w:sz w:val="18"/>
        <w:szCs w:val="18"/>
      </w:rPr>
      <w:t xml:space="preserve">     </w:t>
    </w:r>
    <w:r w:rsidRPr="006F1CD7">
      <w:rPr>
        <w:rFonts w:ascii="Times New Roman" w:hAnsi="Times New Roman" w:cs="Times New Roman"/>
        <w:sz w:val="18"/>
        <w:szCs w:val="18"/>
      </w:rPr>
      <w:t xml:space="preserve">page </w:t>
    </w:r>
    <w:r w:rsidRPr="006F1CD7">
      <w:rPr>
        <w:rFonts w:ascii="Times New Roman" w:hAnsi="Times New Roman" w:cs="Times New Roman"/>
        <w:sz w:val="18"/>
        <w:szCs w:val="18"/>
      </w:rPr>
      <w:fldChar w:fldCharType="begin"/>
    </w:r>
    <w:r w:rsidRPr="006F1CD7">
      <w:rPr>
        <w:rFonts w:ascii="Times New Roman" w:hAnsi="Times New Roman" w:cs="Times New Roman"/>
        <w:sz w:val="18"/>
        <w:szCs w:val="18"/>
      </w:rPr>
      <w:instrText xml:space="preserve"> PAGE   \* MERGEFORMAT </w:instrText>
    </w:r>
    <w:r w:rsidRPr="006F1CD7">
      <w:rPr>
        <w:rFonts w:ascii="Times New Roman" w:hAnsi="Times New Roman" w:cs="Times New Roman"/>
        <w:sz w:val="18"/>
        <w:szCs w:val="18"/>
      </w:rPr>
      <w:fldChar w:fldCharType="separate"/>
    </w:r>
    <w:r w:rsidR="009E122A">
      <w:rPr>
        <w:rFonts w:ascii="Times New Roman" w:hAnsi="Times New Roman" w:cs="Times New Roman"/>
        <w:noProof/>
        <w:sz w:val="18"/>
        <w:szCs w:val="18"/>
      </w:rPr>
      <w:t>6</w:t>
    </w:r>
    <w:r w:rsidRPr="006F1CD7">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C0"/>
    <w:rsid w:val="0001091C"/>
    <w:rsid w:val="00010D20"/>
    <w:rsid w:val="00011694"/>
    <w:rsid w:val="00021A52"/>
    <w:rsid w:val="0003596C"/>
    <w:rsid w:val="00036648"/>
    <w:rsid w:val="000453D1"/>
    <w:rsid w:val="00050880"/>
    <w:rsid w:val="0005181C"/>
    <w:rsid w:val="00053753"/>
    <w:rsid w:val="00056A49"/>
    <w:rsid w:val="00064D4B"/>
    <w:rsid w:val="00067796"/>
    <w:rsid w:val="00067B4E"/>
    <w:rsid w:val="0007530A"/>
    <w:rsid w:val="00087182"/>
    <w:rsid w:val="00087701"/>
    <w:rsid w:val="0009291E"/>
    <w:rsid w:val="000A30A8"/>
    <w:rsid w:val="000A6F2F"/>
    <w:rsid w:val="000B13C8"/>
    <w:rsid w:val="000B47B2"/>
    <w:rsid w:val="000B4C34"/>
    <w:rsid w:val="000C4682"/>
    <w:rsid w:val="000C74CA"/>
    <w:rsid w:val="000D6D09"/>
    <w:rsid w:val="000F2A6A"/>
    <w:rsid w:val="000F3336"/>
    <w:rsid w:val="000F33DC"/>
    <w:rsid w:val="00107311"/>
    <w:rsid w:val="00112041"/>
    <w:rsid w:val="001123C3"/>
    <w:rsid w:val="00120586"/>
    <w:rsid w:val="00122B68"/>
    <w:rsid w:val="00124939"/>
    <w:rsid w:val="00131FBD"/>
    <w:rsid w:val="001420BE"/>
    <w:rsid w:val="0015705F"/>
    <w:rsid w:val="00160388"/>
    <w:rsid w:val="00160677"/>
    <w:rsid w:val="001665E7"/>
    <w:rsid w:val="00166B12"/>
    <w:rsid w:val="00167232"/>
    <w:rsid w:val="00174A54"/>
    <w:rsid w:val="0019404B"/>
    <w:rsid w:val="001947C5"/>
    <w:rsid w:val="001B0784"/>
    <w:rsid w:val="001B28C3"/>
    <w:rsid w:val="001B502D"/>
    <w:rsid w:val="001B544F"/>
    <w:rsid w:val="001C2A42"/>
    <w:rsid w:val="001C6BD9"/>
    <w:rsid w:val="001C7181"/>
    <w:rsid w:val="001C7412"/>
    <w:rsid w:val="001D07F4"/>
    <w:rsid w:val="001D22B0"/>
    <w:rsid w:val="001D3594"/>
    <w:rsid w:val="001D3F17"/>
    <w:rsid w:val="001D68DA"/>
    <w:rsid w:val="001D713F"/>
    <w:rsid w:val="001E66BF"/>
    <w:rsid w:val="001F597E"/>
    <w:rsid w:val="00215841"/>
    <w:rsid w:val="00221DAD"/>
    <w:rsid w:val="00226283"/>
    <w:rsid w:val="002267E9"/>
    <w:rsid w:val="00231A06"/>
    <w:rsid w:val="00232D34"/>
    <w:rsid w:val="00235DE3"/>
    <w:rsid w:val="0023741A"/>
    <w:rsid w:val="00237509"/>
    <w:rsid w:val="00243785"/>
    <w:rsid w:val="00262B57"/>
    <w:rsid w:val="00283CFE"/>
    <w:rsid w:val="002841D2"/>
    <w:rsid w:val="00284CE5"/>
    <w:rsid w:val="00297F75"/>
    <w:rsid w:val="002A057A"/>
    <w:rsid w:val="002A3BFF"/>
    <w:rsid w:val="002B0EC7"/>
    <w:rsid w:val="002B7691"/>
    <w:rsid w:val="002D2762"/>
    <w:rsid w:val="002D6A0E"/>
    <w:rsid w:val="002F178D"/>
    <w:rsid w:val="002F20D5"/>
    <w:rsid w:val="002F79D0"/>
    <w:rsid w:val="003035A7"/>
    <w:rsid w:val="00305E60"/>
    <w:rsid w:val="003119A9"/>
    <w:rsid w:val="003250EA"/>
    <w:rsid w:val="00332C40"/>
    <w:rsid w:val="003422ED"/>
    <w:rsid w:val="00342E75"/>
    <w:rsid w:val="003437A8"/>
    <w:rsid w:val="00347FD0"/>
    <w:rsid w:val="00351DAD"/>
    <w:rsid w:val="00356FB9"/>
    <w:rsid w:val="00364C3C"/>
    <w:rsid w:val="003702D1"/>
    <w:rsid w:val="003803EA"/>
    <w:rsid w:val="00382BE9"/>
    <w:rsid w:val="00391245"/>
    <w:rsid w:val="00395B7F"/>
    <w:rsid w:val="003A11F0"/>
    <w:rsid w:val="003A4361"/>
    <w:rsid w:val="003B294A"/>
    <w:rsid w:val="003B4F4C"/>
    <w:rsid w:val="003C19D9"/>
    <w:rsid w:val="003C60A6"/>
    <w:rsid w:val="003D0285"/>
    <w:rsid w:val="003D1754"/>
    <w:rsid w:val="003D29AC"/>
    <w:rsid w:val="003D69D7"/>
    <w:rsid w:val="003D6FA6"/>
    <w:rsid w:val="003E7173"/>
    <w:rsid w:val="003F283A"/>
    <w:rsid w:val="003F3086"/>
    <w:rsid w:val="003F5CC6"/>
    <w:rsid w:val="003F66B8"/>
    <w:rsid w:val="00411CBC"/>
    <w:rsid w:val="00416067"/>
    <w:rsid w:val="00416ACD"/>
    <w:rsid w:val="00423FB2"/>
    <w:rsid w:val="00425E6A"/>
    <w:rsid w:val="00426E51"/>
    <w:rsid w:val="00435B6E"/>
    <w:rsid w:val="004374C0"/>
    <w:rsid w:val="004451A0"/>
    <w:rsid w:val="0044777B"/>
    <w:rsid w:val="0045238C"/>
    <w:rsid w:val="00456ACD"/>
    <w:rsid w:val="00462FBE"/>
    <w:rsid w:val="0046323D"/>
    <w:rsid w:val="004636DC"/>
    <w:rsid w:val="00463D86"/>
    <w:rsid w:val="00466EB5"/>
    <w:rsid w:val="00486D7B"/>
    <w:rsid w:val="004A15A5"/>
    <w:rsid w:val="004A1714"/>
    <w:rsid w:val="004B2476"/>
    <w:rsid w:val="004C0294"/>
    <w:rsid w:val="004C2090"/>
    <w:rsid w:val="004C2B40"/>
    <w:rsid w:val="004E5731"/>
    <w:rsid w:val="004E6584"/>
    <w:rsid w:val="005118C5"/>
    <w:rsid w:val="00517FB3"/>
    <w:rsid w:val="005212B6"/>
    <w:rsid w:val="0052691B"/>
    <w:rsid w:val="00526DFB"/>
    <w:rsid w:val="00541009"/>
    <w:rsid w:val="00542246"/>
    <w:rsid w:val="0054255C"/>
    <w:rsid w:val="00543B90"/>
    <w:rsid w:val="00546BC8"/>
    <w:rsid w:val="0054720D"/>
    <w:rsid w:val="005533B2"/>
    <w:rsid w:val="00554324"/>
    <w:rsid w:val="0056392B"/>
    <w:rsid w:val="005723F9"/>
    <w:rsid w:val="005904FD"/>
    <w:rsid w:val="00591ECB"/>
    <w:rsid w:val="005A21C0"/>
    <w:rsid w:val="005B3BD5"/>
    <w:rsid w:val="005C43AC"/>
    <w:rsid w:val="005C50A7"/>
    <w:rsid w:val="005D3CB0"/>
    <w:rsid w:val="005D5C56"/>
    <w:rsid w:val="005E2D5D"/>
    <w:rsid w:val="005E2D70"/>
    <w:rsid w:val="005E5B51"/>
    <w:rsid w:val="005E6A45"/>
    <w:rsid w:val="005F122E"/>
    <w:rsid w:val="005F6551"/>
    <w:rsid w:val="0060626C"/>
    <w:rsid w:val="00617386"/>
    <w:rsid w:val="006241AF"/>
    <w:rsid w:val="00624382"/>
    <w:rsid w:val="00625F94"/>
    <w:rsid w:val="0063327A"/>
    <w:rsid w:val="00636ABB"/>
    <w:rsid w:val="0064455B"/>
    <w:rsid w:val="00644A82"/>
    <w:rsid w:val="00644F5A"/>
    <w:rsid w:val="0064560E"/>
    <w:rsid w:val="00646842"/>
    <w:rsid w:val="00656F78"/>
    <w:rsid w:val="00667605"/>
    <w:rsid w:val="006903FB"/>
    <w:rsid w:val="00692AE7"/>
    <w:rsid w:val="006937A9"/>
    <w:rsid w:val="006A07BB"/>
    <w:rsid w:val="006C65B5"/>
    <w:rsid w:val="006D194D"/>
    <w:rsid w:val="006D54B5"/>
    <w:rsid w:val="006D6464"/>
    <w:rsid w:val="006E1CC0"/>
    <w:rsid w:val="006E4BB0"/>
    <w:rsid w:val="006E632A"/>
    <w:rsid w:val="006F1190"/>
    <w:rsid w:val="006F1CD7"/>
    <w:rsid w:val="00701E68"/>
    <w:rsid w:val="007027A5"/>
    <w:rsid w:val="00702A6E"/>
    <w:rsid w:val="00705867"/>
    <w:rsid w:val="00712581"/>
    <w:rsid w:val="00715625"/>
    <w:rsid w:val="00727F73"/>
    <w:rsid w:val="00742BDB"/>
    <w:rsid w:val="007431B7"/>
    <w:rsid w:val="007467BA"/>
    <w:rsid w:val="007501FA"/>
    <w:rsid w:val="00757AF5"/>
    <w:rsid w:val="00764DFE"/>
    <w:rsid w:val="00776B71"/>
    <w:rsid w:val="00787367"/>
    <w:rsid w:val="007A380D"/>
    <w:rsid w:val="007A4D12"/>
    <w:rsid w:val="007A790B"/>
    <w:rsid w:val="007B19D3"/>
    <w:rsid w:val="007C20FB"/>
    <w:rsid w:val="007C7DE4"/>
    <w:rsid w:val="007E1384"/>
    <w:rsid w:val="007E2FA4"/>
    <w:rsid w:val="007E5873"/>
    <w:rsid w:val="007F2EBF"/>
    <w:rsid w:val="007F465E"/>
    <w:rsid w:val="007F6C2D"/>
    <w:rsid w:val="0080444B"/>
    <w:rsid w:val="008045E4"/>
    <w:rsid w:val="00822920"/>
    <w:rsid w:val="00834A07"/>
    <w:rsid w:val="00837865"/>
    <w:rsid w:val="008416A4"/>
    <w:rsid w:val="008574BF"/>
    <w:rsid w:val="00865589"/>
    <w:rsid w:val="00866632"/>
    <w:rsid w:val="00873E23"/>
    <w:rsid w:val="0087722C"/>
    <w:rsid w:val="008826EF"/>
    <w:rsid w:val="008864D8"/>
    <w:rsid w:val="008942F0"/>
    <w:rsid w:val="008A6180"/>
    <w:rsid w:val="008A69C5"/>
    <w:rsid w:val="008B1B56"/>
    <w:rsid w:val="008B6962"/>
    <w:rsid w:val="008B6BEC"/>
    <w:rsid w:val="008C2AA8"/>
    <w:rsid w:val="008C725F"/>
    <w:rsid w:val="008E1306"/>
    <w:rsid w:val="008E5186"/>
    <w:rsid w:val="008F3954"/>
    <w:rsid w:val="00904CF7"/>
    <w:rsid w:val="0090569F"/>
    <w:rsid w:val="00913DCD"/>
    <w:rsid w:val="00936564"/>
    <w:rsid w:val="00950E7E"/>
    <w:rsid w:val="0095408C"/>
    <w:rsid w:val="00964950"/>
    <w:rsid w:val="00964B47"/>
    <w:rsid w:val="00977886"/>
    <w:rsid w:val="00977A08"/>
    <w:rsid w:val="00982752"/>
    <w:rsid w:val="00986FEC"/>
    <w:rsid w:val="00987BCF"/>
    <w:rsid w:val="009934EA"/>
    <w:rsid w:val="00993B9C"/>
    <w:rsid w:val="0099682D"/>
    <w:rsid w:val="009969AC"/>
    <w:rsid w:val="009A3A39"/>
    <w:rsid w:val="009A4A13"/>
    <w:rsid w:val="009A576D"/>
    <w:rsid w:val="009B508A"/>
    <w:rsid w:val="009C7A6F"/>
    <w:rsid w:val="009D7934"/>
    <w:rsid w:val="009D7BCC"/>
    <w:rsid w:val="009E122A"/>
    <w:rsid w:val="009F327A"/>
    <w:rsid w:val="00A05E98"/>
    <w:rsid w:val="00A0612A"/>
    <w:rsid w:val="00A115B8"/>
    <w:rsid w:val="00A11C0E"/>
    <w:rsid w:val="00A12D81"/>
    <w:rsid w:val="00A1319F"/>
    <w:rsid w:val="00A16011"/>
    <w:rsid w:val="00A20779"/>
    <w:rsid w:val="00A23870"/>
    <w:rsid w:val="00A257DF"/>
    <w:rsid w:val="00A3124B"/>
    <w:rsid w:val="00A32678"/>
    <w:rsid w:val="00A338C7"/>
    <w:rsid w:val="00A36723"/>
    <w:rsid w:val="00A40695"/>
    <w:rsid w:val="00A414E6"/>
    <w:rsid w:val="00A419D8"/>
    <w:rsid w:val="00A42563"/>
    <w:rsid w:val="00A42708"/>
    <w:rsid w:val="00A44D2C"/>
    <w:rsid w:val="00A46484"/>
    <w:rsid w:val="00A6125F"/>
    <w:rsid w:val="00A6241A"/>
    <w:rsid w:val="00A64854"/>
    <w:rsid w:val="00A6571D"/>
    <w:rsid w:val="00A7387B"/>
    <w:rsid w:val="00A94A66"/>
    <w:rsid w:val="00AA1C32"/>
    <w:rsid w:val="00AB058B"/>
    <w:rsid w:val="00AB156C"/>
    <w:rsid w:val="00AB32F0"/>
    <w:rsid w:val="00AB3F75"/>
    <w:rsid w:val="00AB765D"/>
    <w:rsid w:val="00AD06FD"/>
    <w:rsid w:val="00AD6050"/>
    <w:rsid w:val="00AD7429"/>
    <w:rsid w:val="00AE2569"/>
    <w:rsid w:val="00B0505C"/>
    <w:rsid w:val="00B05C87"/>
    <w:rsid w:val="00B11293"/>
    <w:rsid w:val="00B13406"/>
    <w:rsid w:val="00B13D8C"/>
    <w:rsid w:val="00B15259"/>
    <w:rsid w:val="00B16437"/>
    <w:rsid w:val="00B2143A"/>
    <w:rsid w:val="00B35A0A"/>
    <w:rsid w:val="00B363CE"/>
    <w:rsid w:val="00B466FD"/>
    <w:rsid w:val="00B46A8E"/>
    <w:rsid w:val="00B51CBE"/>
    <w:rsid w:val="00B62228"/>
    <w:rsid w:val="00B6457B"/>
    <w:rsid w:val="00B878DC"/>
    <w:rsid w:val="00B96102"/>
    <w:rsid w:val="00BB2547"/>
    <w:rsid w:val="00BC46EF"/>
    <w:rsid w:val="00BD5719"/>
    <w:rsid w:val="00BE19B5"/>
    <w:rsid w:val="00BF10FE"/>
    <w:rsid w:val="00C0605F"/>
    <w:rsid w:val="00C177D5"/>
    <w:rsid w:val="00C2710F"/>
    <w:rsid w:val="00C350E8"/>
    <w:rsid w:val="00C377A3"/>
    <w:rsid w:val="00C41C22"/>
    <w:rsid w:val="00C46319"/>
    <w:rsid w:val="00C503CF"/>
    <w:rsid w:val="00C60EDF"/>
    <w:rsid w:val="00C61BD8"/>
    <w:rsid w:val="00C62CD0"/>
    <w:rsid w:val="00C638F7"/>
    <w:rsid w:val="00C64B80"/>
    <w:rsid w:val="00C65FBF"/>
    <w:rsid w:val="00C77307"/>
    <w:rsid w:val="00C81174"/>
    <w:rsid w:val="00C81AAD"/>
    <w:rsid w:val="00C82DBA"/>
    <w:rsid w:val="00C8459C"/>
    <w:rsid w:val="00C877FF"/>
    <w:rsid w:val="00CA566D"/>
    <w:rsid w:val="00CB3040"/>
    <w:rsid w:val="00CC15FC"/>
    <w:rsid w:val="00CC215B"/>
    <w:rsid w:val="00CC5578"/>
    <w:rsid w:val="00CC578D"/>
    <w:rsid w:val="00CD1FC9"/>
    <w:rsid w:val="00CE1B4E"/>
    <w:rsid w:val="00CE5893"/>
    <w:rsid w:val="00CF3F45"/>
    <w:rsid w:val="00CF5627"/>
    <w:rsid w:val="00D00B73"/>
    <w:rsid w:val="00D041E9"/>
    <w:rsid w:val="00D1418A"/>
    <w:rsid w:val="00D172A4"/>
    <w:rsid w:val="00D17D42"/>
    <w:rsid w:val="00D2606E"/>
    <w:rsid w:val="00D31272"/>
    <w:rsid w:val="00D31FD8"/>
    <w:rsid w:val="00D37D9A"/>
    <w:rsid w:val="00D51596"/>
    <w:rsid w:val="00D52398"/>
    <w:rsid w:val="00D56E18"/>
    <w:rsid w:val="00D57507"/>
    <w:rsid w:val="00D63111"/>
    <w:rsid w:val="00D7189C"/>
    <w:rsid w:val="00D771CC"/>
    <w:rsid w:val="00D872FD"/>
    <w:rsid w:val="00D877A3"/>
    <w:rsid w:val="00D90DDC"/>
    <w:rsid w:val="00DA20CB"/>
    <w:rsid w:val="00DA7710"/>
    <w:rsid w:val="00DB46A5"/>
    <w:rsid w:val="00DC66FC"/>
    <w:rsid w:val="00DD18E7"/>
    <w:rsid w:val="00DD1CDD"/>
    <w:rsid w:val="00DD7BA5"/>
    <w:rsid w:val="00DE1EFA"/>
    <w:rsid w:val="00DE7A17"/>
    <w:rsid w:val="00DF3386"/>
    <w:rsid w:val="00DF599F"/>
    <w:rsid w:val="00E04D1C"/>
    <w:rsid w:val="00E0642A"/>
    <w:rsid w:val="00E31347"/>
    <w:rsid w:val="00E34F08"/>
    <w:rsid w:val="00E35B41"/>
    <w:rsid w:val="00E370F8"/>
    <w:rsid w:val="00E41B00"/>
    <w:rsid w:val="00E50A82"/>
    <w:rsid w:val="00E50B99"/>
    <w:rsid w:val="00E54330"/>
    <w:rsid w:val="00E55769"/>
    <w:rsid w:val="00E61670"/>
    <w:rsid w:val="00E6352C"/>
    <w:rsid w:val="00E6360B"/>
    <w:rsid w:val="00E75C6C"/>
    <w:rsid w:val="00E8105C"/>
    <w:rsid w:val="00E832AE"/>
    <w:rsid w:val="00E84683"/>
    <w:rsid w:val="00E855B2"/>
    <w:rsid w:val="00E9235F"/>
    <w:rsid w:val="00E97FAC"/>
    <w:rsid w:val="00EB420F"/>
    <w:rsid w:val="00EB4498"/>
    <w:rsid w:val="00EC1FC8"/>
    <w:rsid w:val="00ED11B3"/>
    <w:rsid w:val="00ED44B6"/>
    <w:rsid w:val="00ED58F7"/>
    <w:rsid w:val="00EE071F"/>
    <w:rsid w:val="00EE3C3C"/>
    <w:rsid w:val="00EE56D4"/>
    <w:rsid w:val="00EF3DC0"/>
    <w:rsid w:val="00F0299B"/>
    <w:rsid w:val="00F10DC1"/>
    <w:rsid w:val="00F26A34"/>
    <w:rsid w:val="00F32177"/>
    <w:rsid w:val="00F34EC0"/>
    <w:rsid w:val="00F34FEF"/>
    <w:rsid w:val="00F35DF9"/>
    <w:rsid w:val="00F557BF"/>
    <w:rsid w:val="00F6287F"/>
    <w:rsid w:val="00F6791F"/>
    <w:rsid w:val="00F72339"/>
    <w:rsid w:val="00F9124D"/>
    <w:rsid w:val="00F97C1F"/>
    <w:rsid w:val="00FA6A31"/>
    <w:rsid w:val="00FB3F5D"/>
    <w:rsid w:val="00FB60C4"/>
    <w:rsid w:val="00FC45A2"/>
    <w:rsid w:val="00FD533B"/>
    <w:rsid w:val="00FD589D"/>
    <w:rsid w:val="00FE0DE3"/>
    <w:rsid w:val="00FE2112"/>
    <w:rsid w:val="00FE24A9"/>
    <w:rsid w:val="00FE2BE3"/>
    <w:rsid w:val="00FE322D"/>
    <w:rsid w:val="00FE506D"/>
    <w:rsid w:val="00FF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6B97"/>
    <w:rPr>
      <w:rFonts w:ascii="Consolas" w:hAnsi="Consolas"/>
      <w:sz w:val="21"/>
      <w:szCs w:val="21"/>
    </w:rPr>
  </w:style>
  <w:style w:type="character" w:customStyle="1" w:styleId="PlainTextChar">
    <w:name w:val="Plain Text Char"/>
    <w:basedOn w:val="DefaultParagraphFont"/>
    <w:link w:val="PlainText"/>
    <w:uiPriority w:val="99"/>
    <w:rsid w:val="00C16B97"/>
    <w:rPr>
      <w:rFonts w:ascii="Consolas" w:hAnsi="Consolas"/>
      <w:sz w:val="21"/>
      <w:szCs w:val="21"/>
    </w:rPr>
  </w:style>
  <w:style w:type="paragraph" w:styleId="Header">
    <w:name w:val="header"/>
    <w:basedOn w:val="Normal"/>
    <w:link w:val="HeaderChar"/>
    <w:uiPriority w:val="99"/>
    <w:unhideWhenUsed/>
    <w:rsid w:val="006F1CD7"/>
    <w:pPr>
      <w:tabs>
        <w:tab w:val="center" w:pos="4680"/>
        <w:tab w:val="right" w:pos="9360"/>
      </w:tabs>
    </w:pPr>
  </w:style>
  <w:style w:type="character" w:customStyle="1" w:styleId="HeaderChar">
    <w:name w:val="Header Char"/>
    <w:basedOn w:val="DefaultParagraphFont"/>
    <w:link w:val="Header"/>
    <w:uiPriority w:val="99"/>
    <w:rsid w:val="006F1CD7"/>
  </w:style>
  <w:style w:type="paragraph" w:styleId="Footer">
    <w:name w:val="footer"/>
    <w:basedOn w:val="Normal"/>
    <w:link w:val="FooterChar"/>
    <w:uiPriority w:val="99"/>
    <w:unhideWhenUsed/>
    <w:rsid w:val="006F1CD7"/>
    <w:pPr>
      <w:tabs>
        <w:tab w:val="center" w:pos="4680"/>
        <w:tab w:val="right" w:pos="9360"/>
      </w:tabs>
    </w:pPr>
  </w:style>
  <w:style w:type="character" w:customStyle="1" w:styleId="FooterChar">
    <w:name w:val="Footer Char"/>
    <w:basedOn w:val="DefaultParagraphFont"/>
    <w:link w:val="Footer"/>
    <w:uiPriority w:val="99"/>
    <w:rsid w:val="006F1C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6B97"/>
    <w:rPr>
      <w:rFonts w:ascii="Consolas" w:hAnsi="Consolas"/>
      <w:sz w:val="21"/>
      <w:szCs w:val="21"/>
    </w:rPr>
  </w:style>
  <w:style w:type="character" w:customStyle="1" w:styleId="PlainTextChar">
    <w:name w:val="Plain Text Char"/>
    <w:basedOn w:val="DefaultParagraphFont"/>
    <w:link w:val="PlainText"/>
    <w:uiPriority w:val="99"/>
    <w:rsid w:val="00C16B97"/>
    <w:rPr>
      <w:rFonts w:ascii="Consolas" w:hAnsi="Consolas"/>
      <w:sz w:val="21"/>
      <w:szCs w:val="21"/>
    </w:rPr>
  </w:style>
  <w:style w:type="paragraph" w:styleId="Header">
    <w:name w:val="header"/>
    <w:basedOn w:val="Normal"/>
    <w:link w:val="HeaderChar"/>
    <w:uiPriority w:val="99"/>
    <w:unhideWhenUsed/>
    <w:rsid w:val="006F1CD7"/>
    <w:pPr>
      <w:tabs>
        <w:tab w:val="center" w:pos="4680"/>
        <w:tab w:val="right" w:pos="9360"/>
      </w:tabs>
    </w:pPr>
  </w:style>
  <w:style w:type="character" w:customStyle="1" w:styleId="HeaderChar">
    <w:name w:val="Header Char"/>
    <w:basedOn w:val="DefaultParagraphFont"/>
    <w:link w:val="Header"/>
    <w:uiPriority w:val="99"/>
    <w:rsid w:val="006F1CD7"/>
  </w:style>
  <w:style w:type="paragraph" w:styleId="Footer">
    <w:name w:val="footer"/>
    <w:basedOn w:val="Normal"/>
    <w:link w:val="FooterChar"/>
    <w:uiPriority w:val="99"/>
    <w:unhideWhenUsed/>
    <w:rsid w:val="006F1CD7"/>
    <w:pPr>
      <w:tabs>
        <w:tab w:val="center" w:pos="4680"/>
        <w:tab w:val="right" w:pos="9360"/>
      </w:tabs>
    </w:pPr>
  </w:style>
  <w:style w:type="character" w:customStyle="1" w:styleId="FooterChar">
    <w:name w:val="Footer Char"/>
    <w:basedOn w:val="DefaultParagraphFont"/>
    <w:link w:val="Footer"/>
    <w:uiPriority w:val="99"/>
    <w:rsid w:val="006F1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Don Wismer</cp:lastModifiedBy>
  <cp:revision>9</cp:revision>
  <dcterms:created xsi:type="dcterms:W3CDTF">2013-11-07T22:29:00Z</dcterms:created>
  <dcterms:modified xsi:type="dcterms:W3CDTF">2013-12-23T17:58:00Z</dcterms:modified>
</cp:coreProperties>
</file>