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3B" w:rsidRDefault="00B15E3B" w:rsidP="00A9283F">
      <w:pPr>
        <w:pStyle w:val="Heading1"/>
        <w:keepNext w:val="0"/>
        <w:keepLines w:val="0"/>
      </w:pPr>
      <w:bookmarkStart w:id="0" w:name="_GoBack"/>
      <w:bookmarkEnd w:id="0"/>
      <w:r>
        <w:t>02</w:t>
      </w:r>
      <w:r>
        <w:tab/>
        <w:t>DEPARTMENT OF PROFESSIONAL AND FINANCIAL REGULATION</w:t>
      </w:r>
    </w:p>
    <w:p w:rsidR="00B15E3B" w:rsidRDefault="00B15E3B" w:rsidP="00A9283F">
      <w:pPr>
        <w:pStyle w:val="Heading1"/>
        <w:keepNext w:val="0"/>
        <w:keepLines w:val="0"/>
      </w:pPr>
      <w:r>
        <w:t>322</w:t>
      </w:r>
      <w:r>
        <w:tab/>
        <w:t>STATE BOARD OF LICENSURE FOR PROFESSIONAL ENGINEERS</w:t>
      </w:r>
    </w:p>
    <w:p w:rsidR="00B15E3B" w:rsidRDefault="00B15E3B" w:rsidP="00A9283F">
      <w:pPr>
        <w:pStyle w:val="Heading1"/>
        <w:keepNext w:val="0"/>
        <w:keepLines w:val="0"/>
      </w:pPr>
      <w:r>
        <w:t>Chapter 1:</w:t>
      </w:r>
      <w:r>
        <w:tab/>
        <w:t>GENERAL PROVISIONS/OPERATION OF THE BOARD</w:t>
      </w:r>
    </w:p>
    <w:p w:rsidR="00B15E3B" w:rsidRPr="00D55794" w:rsidRDefault="00B15E3B" w:rsidP="00A9283F">
      <w:pPr>
        <w:pBdr>
          <w:bottom w:val="single" w:sz="12" w:space="1" w:color="auto"/>
        </w:pBdr>
      </w:pPr>
    </w:p>
    <w:p w:rsidR="00B15E3B" w:rsidRDefault="00B15E3B" w:rsidP="00A9283F">
      <w:pPr>
        <w:rPr>
          <w:b/>
        </w:rPr>
      </w:pPr>
    </w:p>
    <w:p w:rsidR="00B15E3B" w:rsidRDefault="00B15E3B" w:rsidP="00A9283F">
      <w:pPr>
        <w:pBdr>
          <w:bottom w:val="single" w:sz="12" w:space="1" w:color="auto"/>
        </w:pBdr>
      </w:pPr>
      <w:r>
        <w:rPr>
          <w:b/>
        </w:rPr>
        <w:t>SUMMARY:</w:t>
      </w:r>
      <w:r>
        <w:t xml:space="preserve"> This chapter describes the operation of the Board, the duties of the various officers and committees of the Board and the procedures for the conduct of Board meetings.</w:t>
      </w:r>
    </w:p>
    <w:p w:rsidR="00B15E3B" w:rsidRDefault="00B15E3B" w:rsidP="00A9283F">
      <w:pPr>
        <w:pBdr>
          <w:bottom w:val="single" w:sz="12" w:space="1" w:color="auto"/>
        </w:pBdr>
      </w:pPr>
    </w:p>
    <w:p w:rsidR="00B15E3B" w:rsidRDefault="00B15E3B" w:rsidP="00A9283F"/>
    <w:p w:rsidR="00B15E3B" w:rsidRDefault="00B15E3B" w:rsidP="00A9283F">
      <w:pPr>
        <w:pStyle w:val="Section"/>
        <w:keepNext w:val="0"/>
        <w:keepLines w:val="0"/>
        <w:numPr>
          <w:ilvl w:val="0"/>
          <w:numId w:val="3"/>
        </w:numPr>
      </w:pPr>
      <w:r>
        <w:t>Definitions</w:t>
      </w:r>
    </w:p>
    <w:p w:rsidR="00B15E3B" w:rsidRDefault="00B15E3B" w:rsidP="00B15E3B">
      <w:pPr>
        <w:pStyle w:val="Paragr2"/>
        <w:numPr>
          <w:ilvl w:val="1"/>
          <w:numId w:val="3"/>
        </w:numPr>
      </w:pPr>
      <w:r>
        <w:t>“</w:t>
      </w:r>
      <w:r w:rsidRPr="00667202">
        <w:t>Act</w:t>
      </w:r>
      <w:r>
        <w:t>”</w:t>
      </w:r>
      <w:r w:rsidRPr="00667202">
        <w:t xml:space="preserve"> refers to Title 32, Chapter 19, Maine Revised Statutes Annotated (32 M.R.S.A. Section 1251 </w:t>
      </w:r>
      <w:r w:rsidRPr="004D045B">
        <w:rPr>
          <w:i/>
        </w:rPr>
        <w:t>et seq</w:t>
      </w:r>
      <w:r w:rsidRPr="00667202">
        <w:t>.)</w:t>
      </w:r>
      <w:r>
        <w:t>.</w:t>
      </w:r>
    </w:p>
    <w:p w:rsidR="00B15E3B" w:rsidRPr="00667202" w:rsidRDefault="00B15E3B" w:rsidP="00B15E3B">
      <w:pPr>
        <w:pStyle w:val="Paragr2"/>
      </w:pPr>
      <w:r>
        <w:t>“Approved Engineering Curricula”</w:t>
      </w:r>
      <w:r w:rsidRPr="00667202">
        <w:t xml:space="preserve"> means those curricula accredited by the Accreditation Board for Engineering and Technology or approved by the Board.</w:t>
      </w:r>
    </w:p>
    <w:p w:rsidR="00B15E3B" w:rsidRPr="00667202" w:rsidRDefault="00B15E3B" w:rsidP="00B15E3B">
      <w:pPr>
        <w:pStyle w:val="Paragr2"/>
      </w:pPr>
      <w:r w:rsidRPr="00667202">
        <w:t xml:space="preserve">“Board” means the State Board of Licensure for </w:t>
      </w:r>
      <w:r>
        <w:t>Professional Engineer</w:t>
      </w:r>
      <w:r w:rsidRPr="00667202">
        <w:t>s.</w:t>
      </w:r>
    </w:p>
    <w:p w:rsidR="00B15E3B" w:rsidRDefault="00B15E3B" w:rsidP="00B15E3B">
      <w:pPr>
        <w:pStyle w:val="Paragr2"/>
      </w:pPr>
      <w:r>
        <w:t>“</w:t>
      </w:r>
      <w:r w:rsidRPr="00667202">
        <w:t>Code of Ethics</w:t>
      </w:r>
      <w:r>
        <w:t>”</w:t>
      </w:r>
      <w:r w:rsidRPr="00667202">
        <w:t xml:space="preserve"> means the </w:t>
      </w:r>
      <w:r>
        <w:t>Code of Ethics as</w:t>
      </w:r>
      <w:r w:rsidRPr="00667202">
        <w:t xml:space="preserve"> set forth in </w:t>
      </w:r>
      <w:r>
        <w:t>Chapter 4</w:t>
      </w:r>
      <w:r w:rsidRPr="00667202">
        <w:t xml:space="preserve"> of these Rules.</w:t>
      </w:r>
    </w:p>
    <w:p w:rsidR="00B15E3B" w:rsidRDefault="00B15E3B" w:rsidP="00B15E3B">
      <w:pPr>
        <w:pStyle w:val="Paragr2"/>
      </w:pPr>
      <w:r>
        <w:t>“Licensee” means any person holding a license or certificate issued by the Board.</w:t>
      </w:r>
    </w:p>
    <w:p w:rsidR="00B15E3B" w:rsidRPr="00855ABC" w:rsidRDefault="00B15E3B" w:rsidP="00B15E3B">
      <w:pPr>
        <w:pStyle w:val="Paragr2"/>
      </w:pPr>
      <w:r w:rsidRPr="00855ABC">
        <w:t>“NCEES” means the National Council of Examiners for Engineering and Surveying.</w:t>
      </w:r>
    </w:p>
    <w:p w:rsidR="00B15E3B" w:rsidRPr="00855ABC" w:rsidRDefault="00B15E3B" w:rsidP="00B15E3B">
      <w:pPr>
        <w:pStyle w:val="Paragr2"/>
      </w:pPr>
      <w:r>
        <w:t>“</w:t>
      </w:r>
      <w:r w:rsidRPr="00855ABC">
        <w:t>PDH” means Professional Development Hour.</w:t>
      </w:r>
    </w:p>
    <w:p w:rsidR="00B15E3B" w:rsidRDefault="00B15E3B" w:rsidP="00B15E3B">
      <w:pPr>
        <w:pStyle w:val="Section"/>
        <w:numPr>
          <w:ilvl w:val="0"/>
          <w:numId w:val="4"/>
        </w:numPr>
      </w:pPr>
      <w:r>
        <w:t>General</w:t>
      </w:r>
    </w:p>
    <w:p w:rsidR="00B15E3B" w:rsidRDefault="00B15E3B" w:rsidP="00B15E3B">
      <w:pPr>
        <w:pStyle w:val="Paragr2"/>
        <w:numPr>
          <w:ilvl w:val="0"/>
          <w:numId w:val="1"/>
        </w:numPr>
      </w:pPr>
      <w:r>
        <w:rPr>
          <w:b/>
        </w:rPr>
        <w:t>Location</w:t>
      </w:r>
      <w:r w:rsidRPr="001B5BDF">
        <w:rPr>
          <w:b/>
        </w:rPr>
        <w:t>:</w:t>
      </w:r>
      <w:r>
        <w:t xml:space="preserve"> </w:t>
      </w:r>
      <w:r w:rsidRPr="009A2586">
        <w:t xml:space="preserve">The </w:t>
      </w:r>
      <w:r>
        <w:t xml:space="preserve">Board office </w:t>
      </w:r>
      <w:r w:rsidRPr="009A2586">
        <w:t xml:space="preserve">is located in </w:t>
      </w:r>
      <w:smartTag w:uri="urn:schemas-microsoft-com:office:smarttags" w:element="place">
        <w:smartTag w:uri="urn:schemas-microsoft-com:office:smarttags" w:element="City">
          <w:r w:rsidRPr="009A2586">
            <w:t>Augusta</w:t>
          </w:r>
        </w:smartTag>
        <w:r w:rsidRPr="009A2586">
          <w:t xml:space="preserve">, </w:t>
        </w:r>
        <w:smartTag w:uri="urn:schemas-microsoft-com:office:smarttags" w:element="State">
          <w:r w:rsidRPr="009A2586">
            <w:t>Maine</w:t>
          </w:r>
        </w:smartTag>
      </w:smartTag>
      <w:r w:rsidRPr="009A2586">
        <w:t>.</w:t>
      </w:r>
    </w:p>
    <w:p w:rsidR="00B15E3B" w:rsidRPr="004F1C15" w:rsidRDefault="00B15E3B" w:rsidP="00B15E3B">
      <w:pPr>
        <w:pStyle w:val="Paragr2"/>
        <w:numPr>
          <w:ilvl w:val="0"/>
          <w:numId w:val="1"/>
        </w:numPr>
      </w:pPr>
      <w:r w:rsidRPr="004F1C15">
        <w:rPr>
          <w:b/>
        </w:rPr>
        <w:t>Board Seal:</w:t>
      </w:r>
      <w:r w:rsidRPr="004F1C15">
        <w:t xml:space="preserve"> The seal of the Board is an embossed circular seal one and seven-eighths inches in diameter consisting of two concentric circles. The outer circle is to be two and one-eighth inches in diameter, the inner circle to be one and one-quarter inches in diameter and containing the Great Seal of the State of </w:t>
      </w:r>
      <w:smartTag w:uri="urn:schemas-microsoft-com:office:smarttags" w:element="State">
        <w:r w:rsidRPr="004F1C15">
          <w:t>Maine</w:t>
        </w:r>
      </w:smartTag>
      <w:r>
        <w:t>, with the words “</w:t>
      </w:r>
      <w:r w:rsidRPr="004F1C15">
        <w:t xml:space="preserve">State of </w:t>
      </w:r>
      <w:smartTag w:uri="urn:schemas-microsoft-com:office:smarttags" w:element="place">
        <w:smartTag w:uri="urn:schemas-microsoft-com:office:smarttags" w:element="State">
          <w:r w:rsidRPr="004F1C15">
            <w:t>Maine</w:t>
          </w:r>
        </w:smartTag>
      </w:smartTag>
      <w:r>
        <w:t>” above, and the words “</w:t>
      </w:r>
      <w:r w:rsidRPr="004F1C15">
        <w:t>State Board of Licen</w:t>
      </w:r>
      <w:r>
        <w:t>sure for Professional Engineers”</w:t>
      </w:r>
      <w:r w:rsidRPr="004F1C15">
        <w:t xml:space="preserve"> below.</w:t>
      </w:r>
    </w:p>
    <w:p w:rsidR="00B15E3B" w:rsidRDefault="00B15E3B" w:rsidP="00B15E3B">
      <w:pPr>
        <w:pStyle w:val="Paragr2"/>
        <w:numPr>
          <w:ilvl w:val="0"/>
          <w:numId w:val="1"/>
        </w:numPr>
      </w:pPr>
      <w:r w:rsidRPr="001B5BDF">
        <w:rPr>
          <w:b/>
        </w:rPr>
        <w:t>Fiscal Year:</w:t>
      </w:r>
      <w:r>
        <w:t xml:space="preserve"> </w:t>
      </w:r>
      <w:r w:rsidRPr="009A2586">
        <w:t>The fiscal year of the Board ends on June 30.</w:t>
      </w:r>
    </w:p>
    <w:p w:rsidR="00B15E3B" w:rsidRPr="005E3FC6" w:rsidRDefault="00B15E3B" w:rsidP="00B15E3B">
      <w:pPr>
        <w:pStyle w:val="Paragr2"/>
        <w:numPr>
          <w:ilvl w:val="0"/>
          <w:numId w:val="1"/>
        </w:numPr>
      </w:pPr>
      <w:r w:rsidRPr="001B5BDF">
        <w:rPr>
          <w:b/>
        </w:rPr>
        <w:t>Meetings:</w:t>
      </w:r>
      <w:r>
        <w:t xml:space="preserve"> </w:t>
      </w:r>
      <w:r w:rsidRPr="009A2586">
        <w:t>A minimum of two regular meetings are held each year</w:t>
      </w:r>
      <w:r>
        <w:t>.</w:t>
      </w:r>
      <w:r w:rsidRPr="009A2586">
        <w:t xml:space="preserve"> </w:t>
      </w:r>
    </w:p>
    <w:p w:rsidR="00B15E3B" w:rsidRPr="002032EB" w:rsidRDefault="00B15E3B" w:rsidP="00B15E3B">
      <w:pPr>
        <w:pStyle w:val="Paragr2"/>
        <w:numPr>
          <w:ilvl w:val="0"/>
          <w:numId w:val="1"/>
        </w:numPr>
      </w:pPr>
      <w:r w:rsidRPr="002032EB">
        <w:rPr>
          <w:b/>
        </w:rPr>
        <w:t>Procedure</w:t>
      </w:r>
      <w:r>
        <w:t>: Robert’s RULES OF ORDER governs the procedure of the Board, except as otherwise provided by the Act, other</w:t>
      </w:r>
      <w:r w:rsidRPr="00D84EB5">
        <w:t xml:space="preserve"> </w:t>
      </w:r>
      <w:r>
        <w:t>statute, or the Rules.</w:t>
      </w:r>
    </w:p>
    <w:p w:rsidR="00B15E3B" w:rsidRDefault="00B15E3B" w:rsidP="00B15E3B">
      <w:pPr>
        <w:pStyle w:val="Paragr2"/>
        <w:numPr>
          <w:ilvl w:val="0"/>
          <w:numId w:val="1"/>
        </w:numPr>
      </w:pPr>
      <w:r w:rsidRPr="001B5BDF">
        <w:rPr>
          <w:b/>
        </w:rPr>
        <w:t>Officers and Committees:</w:t>
      </w:r>
      <w:r>
        <w:t xml:space="preserve"> </w:t>
      </w:r>
      <w:r w:rsidRPr="009A2586">
        <w:t xml:space="preserve">The Board </w:t>
      </w:r>
      <w:r>
        <w:t xml:space="preserve">annually </w:t>
      </w:r>
      <w:r w:rsidRPr="009A2586">
        <w:t>elects or appoints a Chair and a Vice-Chair from its mem</w:t>
      </w:r>
      <w:r>
        <w:t>bership</w:t>
      </w:r>
      <w:r w:rsidRPr="009A2586">
        <w:t>.</w:t>
      </w:r>
    </w:p>
    <w:p w:rsidR="00B15E3B" w:rsidRDefault="00B15E3B" w:rsidP="00B15E3B">
      <w:pPr>
        <w:pStyle w:val="Paragr2"/>
        <w:numPr>
          <w:ilvl w:val="0"/>
          <w:numId w:val="1"/>
        </w:numPr>
      </w:pPr>
      <w:r>
        <w:rPr>
          <w:b/>
        </w:rPr>
        <w:t>National Council</w:t>
      </w:r>
      <w:r w:rsidRPr="001B5BDF">
        <w:rPr>
          <w:b/>
        </w:rPr>
        <w:t>:</w:t>
      </w:r>
      <w:r>
        <w:t xml:space="preserve"> </w:t>
      </w:r>
      <w:r w:rsidRPr="009A2586">
        <w:t xml:space="preserve">The Board </w:t>
      </w:r>
      <w:r>
        <w:t>is a member of the National Council of Examiners for Engineering and Surveying.</w:t>
      </w:r>
    </w:p>
    <w:p w:rsidR="00B15E3B" w:rsidRDefault="00B15E3B" w:rsidP="00B15E3B">
      <w:pPr>
        <w:pStyle w:val="Section"/>
        <w:tabs>
          <w:tab w:val="clear" w:pos="360"/>
        </w:tabs>
        <w:ind w:left="3024" w:hanging="3024"/>
      </w:pPr>
      <w:r>
        <w:br w:type="page"/>
      </w:r>
      <w:r>
        <w:lastRenderedPageBreak/>
        <w:t>Duties</w:t>
      </w:r>
    </w:p>
    <w:p w:rsidR="00B15E3B" w:rsidRDefault="00B15E3B" w:rsidP="00B15E3B">
      <w:pPr>
        <w:pStyle w:val="Paragr2"/>
      </w:pPr>
      <w:r w:rsidRPr="00C60F1F">
        <w:rPr>
          <w:b/>
        </w:rPr>
        <w:t>The Chair:</w:t>
      </w:r>
      <w:r>
        <w:t xml:space="preserve"> The Chair, when present, presides at all meetings and appoints all committees. The Chair performs all duties pertaining to the office of Chair and signs all official documents.</w:t>
      </w:r>
    </w:p>
    <w:p w:rsidR="00B15E3B" w:rsidRDefault="00B15E3B" w:rsidP="00B15E3B">
      <w:pPr>
        <w:pStyle w:val="Paragr2"/>
      </w:pPr>
      <w:r w:rsidRPr="00847061">
        <w:rPr>
          <w:b/>
        </w:rPr>
        <w:t>The Vice-Chair:</w:t>
      </w:r>
      <w:r>
        <w:t xml:space="preserve"> In the absence or incapacity of the Chair, the Vice-Chair exercises the duties and powers of the Chair.</w:t>
      </w:r>
    </w:p>
    <w:p w:rsidR="00B15E3B" w:rsidRDefault="00B15E3B" w:rsidP="00AF3706">
      <w:pPr>
        <w:pStyle w:val="Paragr2"/>
        <w:ind w:right="-180"/>
      </w:pPr>
      <w:r w:rsidRPr="00C60F1F">
        <w:rPr>
          <w:b/>
        </w:rPr>
        <w:t>Vacancies:</w:t>
      </w:r>
      <w:r>
        <w:t xml:space="preserve"> If for any reason a vacancy occurs in the office of Chair or Vice-Chair, the office is filled by an election of the Board members either at a regular meeting or a special meeting called for that purpose. Any officers so elected must receive at least 4 affirmative votes.</w:t>
      </w:r>
    </w:p>
    <w:p w:rsidR="00B15E3B" w:rsidRDefault="00B15E3B" w:rsidP="00B15E3B">
      <w:pPr>
        <w:pStyle w:val="Paragr2"/>
      </w:pPr>
      <w:r w:rsidRPr="00C60F1F">
        <w:rPr>
          <w:b/>
        </w:rPr>
        <w:t>Executive Committee:</w:t>
      </w:r>
      <w:r>
        <w:t xml:space="preserve"> The Executive Committee consists of 3 members, one of which is the Chair of the Board, who also chairs the Executive Committee. The Executive Committee transacts all business during the interval between meetings and makes a report to the Board at its next meeting.</w:t>
      </w:r>
    </w:p>
    <w:p w:rsidR="00B15E3B" w:rsidRDefault="00B15E3B" w:rsidP="00B15E3B">
      <w:pPr>
        <w:pStyle w:val="Paragr2"/>
      </w:pPr>
      <w:r w:rsidRPr="00C60F1F">
        <w:rPr>
          <w:b/>
        </w:rPr>
        <w:t>Finance Committee:</w:t>
      </w:r>
      <w:r>
        <w:t xml:space="preserve"> The Finance Committee consists of 2 members. The Finance Committee reviews all bills, accounts, income and expenses, including the financial records of the Executive Director, and reports to the Board at each regular meeting.</w:t>
      </w:r>
    </w:p>
    <w:p w:rsidR="00B15E3B" w:rsidRPr="00855ABC" w:rsidRDefault="00B15E3B" w:rsidP="00B15E3B">
      <w:pPr>
        <w:pStyle w:val="Paragr2"/>
      </w:pPr>
      <w:r w:rsidRPr="00855ABC">
        <w:rPr>
          <w:b/>
        </w:rPr>
        <w:t>Rules Committee:</w:t>
      </w:r>
      <w:r w:rsidRPr="00855ABC">
        <w:t xml:space="preserve"> T</w:t>
      </w:r>
      <w:r>
        <w:t>he Rules Committee consists of 2</w:t>
      </w:r>
      <w:r w:rsidRPr="00855ABC">
        <w:t xml:space="preserve"> members. The Rules Committee considers and recommends to the Board modifications of the Act and the Rules governing </w:t>
      </w:r>
      <w:r>
        <w:t>professional engineer</w:t>
      </w:r>
      <w:r w:rsidRPr="00855ABC">
        <w:t>ing.</w:t>
      </w:r>
    </w:p>
    <w:p w:rsidR="00B15E3B" w:rsidRDefault="00B15E3B" w:rsidP="00B15E3B">
      <w:pPr>
        <w:pStyle w:val="Paragr2"/>
      </w:pPr>
      <w:r w:rsidRPr="00C60F1F">
        <w:rPr>
          <w:b/>
        </w:rPr>
        <w:t>Examination Committee:</w:t>
      </w:r>
      <w:r>
        <w:t xml:space="preserve"> The Examination Committee consists of all members of the Board. The Examination Committee coordinates with the National Council of Examiners for Engineering and Surveying in the administration of national examinations.</w:t>
      </w:r>
    </w:p>
    <w:p w:rsidR="00B15E3B" w:rsidRDefault="00B15E3B" w:rsidP="00B15E3B">
      <w:pPr>
        <w:pStyle w:val="Paragr2"/>
      </w:pPr>
      <w:r w:rsidRPr="00C60F1F">
        <w:rPr>
          <w:b/>
        </w:rPr>
        <w:t>Information Committee:</w:t>
      </w:r>
      <w:r>
        <w:t xml:space="preserve"> The Information Committee consists of 3 members. The Information Committee makes recommendations for publication of the policy, purpose and principles of the Board.</w:t>
      </w:r>
    </w:p>
    <w:p w:rsidR="00B15E3B" w:rsidRDefault="00B15E3B" w:rsidP="00B15E3B">
      <w:pPr>
        <w:pStyle w:val="Paragr2"/>
      </w:pPr>
      <w:r w:rsidRPr="00C60F1F">
        <w:rPr>
          <w:b/>
        </w:rPr>
        <w:t>Complaint Committee:</w:t>
      </w:r>
      <w:r>
        <w:t xml:space="preserve"> The Complaint Committee consists of 3 members: the Complaint Officer (who is a Board Member), the Executive Director, and the Assistant Attorney General assigned to the Board. The Complaint Committee investigates, presents, and advises the Board as to disposition of all complaints.</w:t>
      </w:r>
    </w:p>
    <w:p w:rsidR="00B15E3B" w:rsidRDefault="00B15E3B" w:rsidP="00B15E3B">
      <w:pPr>
        <w:pStyle w:val="Paragr2"/>
      </w:pPr>
      <w:r w:rsidRPr="000B6419">
        <w:rPr>
          <w:b/>
        </w:rPr>
        <w:t>Continuing Education Committee:</w:t>
      </w:r>
      <w:r>
        <w:rPr>
          <w:b/>
        </w:rPr>
        <w:t xml:space="preserve"> </w:t>
      </w:r>
      <w:r w:rsidRPr="000D2B1C">
        <w:t>The C</w:t>
      </w:r>
      <w:r>
        <w:t>ontinuing Education Committee conducts audits of the PDHs claimed by Licensees and makes recommendations for changes to the professional development program.</w:t>
      </w:r>
    </w:p>
    <w:p w:rsidR="00AF3706" w:rsidRPr="00726A48" w:rsidRDefault="00AF3706" w:rsidP="00AF3706">
      <w:pPr>
        <w:pStyle w:val="Paragr2"/>
        <w:numPr>
          <w:ilvl w:val="0"/>
          <w:numId w:val="0"/>
        </w:numPr>
        <w:ind w:left="1296"/>
      </w:pPr>
      <w:r>
        <w:rPr>
          <w:b/>
        </w:rPr>
        <w:br w:type="page"/>
      </w:r>
    </w:p>
    <w:p w:rsidR="00B15E3B" w:rsidRPr="00847061" w:rsidRDefault="00B15E3B" w:rsidP="00B15E3B">
      <w:pPr>
        <w:pStyle w:val="Section"/>
        <w:tabs>
          <w:tab w:val="clear" w:pos="360"/>
        </w:tabs>
        <w:ind w:left="3024" w:hanging="3024"/>
      </w:pPr>
      <w:r>
        <w:t>Staffing</w:t>
      </w:r>
    </w:p>
    <w:p w:rsidR="00B15E3B" w:rsidRDefault="00B15E3B" w:rsidP="00B15E3B">
      <w:pPr>
        <w:pStyle w:val="Paragr2"/>
      </w:pPr>
      <w:r w:rsidRPr="0022498F">
        <w:rPr>
          <w:b/>
        </w:rPr>
        <w:t>The Executive Director:</w:t>
      </w:r>
      <w:r>
        <w:t xml:space="preserve"> The Board may appoint an Executive Director.</w:t>
      </w:r>
    </w:p>
    <w:p w:rsidR="00B15E3B" w:rsidRDefault="00B15E3B" w:rsidP="00B15E3B">
      <w:pPr>
        <w:pStyle w:val="Paragr3"/>
      </w:pPr>
      <w:r>
        <w:t xml:space="preserve">The Executive Director maintains all correspondence and records on behalf of the Board. </w:t>
      </w:r>
    </w:p>
    <w:p w:rsidR="00B15E3B" w:rsidRDefault="00B15E3B" w:rsidP="00B15E3B">
      <w:pPr>
        <w:pStyle w:val="Paragr3"/>
      </w:pPr>
      <w:r>
        <w:t>The Executive Director keeps a record of all meetings and maintains a proper account of all funds of the Board.</w:t>
      </w:r>
    </w:p>
    <w:p w:rsidR="00B15E3B" w:rsidRDefault="00B15E3B" w:rsidP="00B15E3B">
      <w:pPr>
        <w:pStyle w:val="Paragr3"/>
      </w:pPr>
      <w:r>
        <w:t>The Executive Director maintains a roster of all licensed Professional Engineers.</w:t>
      </w:r>
    </w:p>
    <w:p w:rsidR="00B15E3B" w:rsidRDefault="00B15E3B" w:rsidP="00B15E3B">
      <w:pPr>
        <w:pStyle w:val="Paragr3"/>
      </w:pPr>
      <w:r w:rsidRPr="006A0A30">
        <w:t>The Executive Director prep</w:t>
      </w:r>
      <w:r>
        <w:t>ares an agenda for each meeting</w:t>
      </w:r>
      <w:r w:rsidRPr="006A0A30">
        <w:t>. Meetings will be noticed pursuant to the requirements set forth in 5 M.R.S.A. Section 8053.</w:t>
      </w:r>
    </w:p>
    <w:p w:rsidR="00B15E3B" w:rsidRDefault="00B15E3B" w:rsidP="00B15E3B">
      <w:pPr>
        <w:pStyle w:val="Paragr3"/>
      </w:pPr>
      <w:r>
        <w:t>The Executive Director completes such other tasks as assigned by the Board</w:t>
      </w:r>
    </w:p>
    <w:p w:rsidR="00B15E3B" w:rsidRDefault="00B15E3B" w:rsidP="00B15E3B">
      <w:pPr>
        <w:pBdr>
          <w:bottom w:val="single" w:sz="12" w:space="1" w:color="auto"/>
        </w:pBdr>
      </w:pPr>
    </w:p>
    <w:p w:rsidR="00B15E3B" w:rsidRDefault="00B15E3B" w:rsidP="00B15E3B"/>
    <w:p w:rsidR="00AF3706" w:rsidRDefault="00AF3706" w:rsidP="00B15E3B"/>
    <w:p w:rsidR="00B15E3B" w:rsidRDefault="00B15E3B" w:rsidP="00B15E3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  <w:r>
        <w:t>STATUTORY AUTHORITY: 32 M.R.S.A. Section 1306(2)</w:t>
      </w:r>
    </w:p>
    <w:p w:rsidR="00730110" w:rsidRDefault="00730110" w:rsidP="00B15E3B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>EFFECTIVE DATE:</w:t>
      </w: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  <w:t>June 30, 1978</w:t>
      </w:r>
      <w:r w:rsidR="0087433D">
        <w:rPr>
          <w:rFonts w:eastAsia="Times New Roman"/>
          <w:szCs w:val="20"/>
        </w:rPr>
        <w:t xml:space="preserve"> – filing 78-11 under the title “By-Laws”</w:t>
      </w: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>AMENDED:</w:t>
      </w: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</w:r>
      <w:smartTag w:uri="urn:schemas-microsoft-com:office:smarttags" w:element="date">
        <w:smartTagPr>
          <w:attr w:name="Year" w:val="1990"/>
          <w:attr w:name="Day" w:val="16"/>
          <w:attr w:name="Month" w:val="12"/>
        </w:smartTagPr>
        <w:r w:rsidRPr="00730110">
          <w:rPr>
            <w:rFonts w:eastAsia="Times New Roman"/>
            <w:szCs w:val="20"/>
          </w:rPr>
          <w:t>December 16, 1990</w:t>
        </w:r>
      </w:smartTag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</w:r>
      <w:smartTag w:uri="urn:schemas-microsoft-com:office:smarttags" w:element="date">
        <w:smartTagPr>
          <w:attr w:name="Year" w:val="1983"/>
          <w:attr w:name="Day" w:val="22"/>
          <w:attr w:name="Month" w:val="11"/>
        </w:smartTagPr>
        <w:r w:rsidRPr="00730110">
          <w:rPr>
            <w:rFonts w:eastAsia="Times New Roman"/>
            <w:szCs w:val="20"/>
          </w:rPr>
          <w:t>November 22, 1983</w:t>
        </w:r>
      </w:smartTag>
      <w:r w:rsidRPr="00730110">
        <w:rPr>
          <w:rFonts w:eastAsia="Times New Roman"/>
          <w:szCs w:val="20"/>
        </w:rPr>
        <w:t xml:space="preserve"> - Section 1(G)</w:t>
      </w: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</w:r>
      <w:smartTag w:uri="urn:schemas-microsoft-com:office:smarttags" w:element="date">
        <w:smartTagPr>
          <w:attr w:name="Year" w:val="1988"/>
          <w:attr w:name="Day" w:val="10"/>
          <w:attr w:name="Month" w:val="2"/>
        </w:smartTagPr>
        <w:r w:rsidRPr="00730110">
          <w:rPr>
            <w:rFonts w:eastAsia="Times New Roman"/>
            <w:szCs w:val="20"/>
          </w:rPr>
          <w:t>February 10, 1988</w:t>
        </w:r>
      </w:smartTag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</w:r>
      <w:smartTag w:uri="urn:schemas-microsoft-com:office:smarttags" w:element="date">
        <w:smartTagPr>
          <w:attr w:name="Year" w:val="1990"/>
          <w:attr w:name="Day" w:val="1"/>
          <w:attr w:name="Month" w:val="10"/>
        </w:smartTagPr>
        <w:r w:rsidRPr="00730110">
          <w:rPr>
            <w:rFonts w:eastAsia="Times New Roman"/>
            <w:szCs w:val="20"/>
          </w:rPr>
          <w:t>October 1, 1990</w:t>
        </w:r>
      </w:smartTag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</w:r>
      <w:smartTag w:uri="urn:schemas-microsoft-com:office:smarttags" w:element="date">
        <w:smartTagPr>
          <w:attr w:name="Year" w:val="1996"/>
          <w:attr w:name="Day" w:val="11"/>
          <w:attr w:name="Month" w:val="3"/>
        </w:smartTagPr>
        <w:r w:rsidRPr="00730110">
          <w:rPr>
            <w:rFonts w:eastAsia="Times New Roman"/>
            <w:szCs w:val="20"/>
          </w:rPr>
          <w:t>March 11, 1996</w:t>
        </w:r>
      </w:smartTag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>EFFECTIVE DATE (ELECTRONIC CONVERSION):</w:t>
      </w: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</w:r>
      <w:smartTag w:uri="urn:schemas-microsoft-com:office:smarttags" w:element="date">
        <w:smartTagPr>
          <w:attr w:name="Year" w:val="1996"/>
          <w:attr w:name="Day" w:val="2"/>
          <w:attr w:name="Month" w:val="10"/>
        </w:smartTagPr>
        <w:r w:rsidRPr="00730110">
          <w:rPr>
            <w:rFonts w:eastAsia="Times New Roman"/>
            <w:szCs w:val="20"/>
          </w:rPr>
          <w:t>October 2, 1996</w:t>
        </w:r>
      </w:smartTag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eastAsia="Times New Roman"/>
          <w:szCs w:val="20"/>
        </w:rPr>
      </w:pPr>
    </w:p>
    <w:p w:rsidR="00730110" w:rsidRPr="00730110" w:rsidRDefault="00730110" w:rsidP="0073011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20" w:hanging="720"/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>AMENDED:</w:t>
      </w:r>
    </w:p>
    <w:p w:rsidR="00730110" w:rsidRPr="00730110" w:rsidRDefault="00730110" w:rsidP="0023015C">
      <w:pPr>
        <w:tabs>
          <w:tab w:val="left" w:pos="720"/>
        </w:tabs>
        <w:ind w:left="1440" w:right="-360" w:hanging="1440"/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  <w:t>October 9, 2000</w:t>
      </w:r>
      <w:r w:rsidR="009946F8">
        <w:rPr>
          <w:rFonts w:eastAsia="Times New Roman"/>
          <w:szCs w:val="20"/>
        </w:rPr>
        <w:tab/>
      </w:r>
      <w:r w:rsidR="0023015C">
        <w:rPr>
          <w:rFonts w:eastAsia="Times New Roman"/>
          <w:szCs w:val="20"/>
        </w:rPr>
        <w:t xml:space="preserve"> - filing 2000-440 under the title “Rules of State Board of Professional Engineers – Organization and Administration”</w:t>
      </w:r>
    </w:p>
    <w:p w:rsidR="00730110" w:rsidRPr="00730110" w:rsidRDefault="00730110" w:rsidP="00730110">
      <w:pPr>
        <w:rPr>
          <w:rFonts w:eastAsia="Times New Roman"/>
          <w:szCs w:val="20"/>
        </w:rPr>
      </w:pPr>
      <w:r w:rsidRPr="00730110">
        <w:rPr>
          <w:rFonts w:eastAsia="Times New Roman"/>
          <w:szCs w:val="20"/>
        </w:rPr>
        <w:tab/>
        <w:t>May 25, 2004 - filing 2004-161</w:t>
      </w:r>
      <w:r w:rsidR="009946F8">
        <w:rPr>
          <w:rFonts w:eastAsia="Times New Roman"/>
          <w:szCs w:val="20"/>
        </w:rPr>
        <w:t xml:space="preserve"> </w:t>
      </w:r>
    </w:p>
    <w:p w:rsidR="00730110" w:rsidRPr="00730110" w:rsidRDefault="00730110" w:rsidP="00730110">
      <w:pPr>
        <w:rPr>
          <w:rFonts w:eastAsia="Times New Roman"/>
          <w:sz w:val="20"/>
          <w:szCs w:val="20"/>
        </w:rPr>
      </w:pPr>
      <w:r w:rsidRPr="00730110">
        <w:rPr>
          <w:rFonts w:eastAsia="Times New Roman"/>
          <w:sz w:val="20"/>
          <w:szCs w:val="20"/>
        </w:rPr>
        <w:tab/>
      </w:r>
      <w:smartTag w:uri="urn:schemas-microsoft-com:office:smarttags" w:element="date">
        <w:smartTagPr>
          <w:attr w:name="Year" w:val="2006"/>
          <w:attr w:name="Day" w:val="8"/>
          <w:attr w:name="Month" w:val="7"/>
        </w:smartTagPr>
        <w:r w:rsidRPr="00730110">
          <w:rPr>
            <w:rFonts w:eastAsia="Times New Roman"/>
            <w:sz w:val="20"/>
            <w:szCs w:val="20"/>
          </w:rPr>
          <w:t>July 8, 2006</w:t>
        </w:r>
      </w:smartTag>
      <w:r w:rsidRPr="00730110">
        <w:rPr>
          <w:rFonts w:eastAsia="Times New Roman"/>
          <w:sz w:val="20"/>
          <w:szCs w:val="20"/>
        </w:rPr>
        <w:t xml:space="preserve"> – filing 2006-299</w:t>
      </w:r>
    </w:p>
    <w:p w:rsidR="00730110" w:rsidRPr="00730110" w:rsidRDefault="00730110" w:rsidP="00730110">
      <w:pPr>
        <w:rPr>
          <w:rFonts w:eastAsia="Times New Roman"/>
          <w:sz w:val="20"/>
          <w:szCs w:val="20"/>
        </w:rPr>
      </w:pPr>
    </w:p>
    <w:p w:rsidR="005F7072" w:rsidRDefault="00730110">
      <w:r>
        <w:t>REPEALED AND REPLACED:</w:t>
      </w:r>
    </w:p>
    <w:p w:rsidR="00730110" w:rsidRDefault="00730110" w:rsidP="00442737">
      <w:pPr>
        <w:ind w:right="-90"/>
      </w:pPr>
      <w:r>
        <w:tab/>
        <w:t>September 9, 2014 – filing 2014-214</w:t>
      </w:r>
      <w:r w:rsidR="00442737">
        <w:t xml:space="preserve"> under the title “General Provisions / Operation of the Board”</w:t>
      </w:r>
    </w:p>
    <w:p w:rsidR="009B4BC9" w:rsidRDefault="009B4BC9" w:rsidP="00442737">
      <w:pPr>
        <w:ind w:right="-90"/>
      </w:pPr>
    </w:p>
    <w:p w:rsidR="009B4BC9" w:rsidRDefault="009B4BC9" w:rsidP="00442737">
      <w:pPr>
        <w:ind w:right="-90"/>
      </w:pPr>
      <w:r>
        <w:t>REPOSTED:</w:t>
      </w:r>
    </w:p>
    <w:p w:rsidR="009B4BC9" w:rsidRDefault="009B4BC9" w:rsidP="00442737">
      <w:pPr>
        <w:ind w:right="-90"/>
      </w:pPr>
      <w:r>
        <w:tab/>
        <w:t>September 23, 2014</w:t>
      </w:r>
      <w:r w:rsidR="005572B1">
        <w:t xml:space="preserve"> as a separate chapter</w:t>
      </w:r>
    </w:p>
    <w:p w:rsidR="005572B1" w:rsidRDefault="005572B1" w:rsidP="00442737">
      <w:pPr>
        <w:ind w:right="-90"/>
      </w:pPr>
    </w:p>
    <w:sectPr w:rsidR="005572B1" w:rsidSect="009B4BC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C6" w:rsidRDefault="00E911C6">
      <w:r>
        <w:separator/>
      </w:r>
    </w:p>
  </w:endnote>
  <w:endnote w:type="continuationSeparator" w:id="0">
    <w:p w:rsidR="00E911C6" w:rsidRDefault="00E9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3D" w:rsidRDefault="0087433D" w:rsidP="00B15E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33D" w:rsidRDefault="0087433D" w:rsidP="00B15E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3D" w:rsidRDefault="0087433D" w:rsidP="00B15E3B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C6" w:rsidRDefault="00E911C6">
      <w:r>
        <w:separator/>
      </w:r>
    </w:p>
  </w:footnote>
  <w:footnote w:type="continuationSeparator" w:id="0">
    <w:p w:rsidR="00E911C6" w:rsidRDefault="00E9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33D" w:rsidRPr="004D045B" w:rsidRDefault="0087433D" w:rsidP="004D045B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4D045B">
      <w:rPr>
        <w:sz w:val="18"/>
        <w:szCs w:val="18"/>
      </w:rPr>
      <w:t>0</w:t>
    </w:r>
    <w:r w:rsidR="009B4BC9">
      <w:rPr>
        <w:sz w:val="18"/>
        <w:szCs w:val="18"/>
      </w:rPr>
      <w:t>2-322 Chapter</w:t>
    </w:r>
    <w:r w:rsidRPr="004D045B">
      <w:rPr>
        <w:sz w:val="18"/>
        <w:szCs w:val="18"/>
      </w:rPr>
      <w:t xml:space="preserve"> 1</w:t>
    </w:r>
    <w:r w:rsidR="009B4BC9">
      <w:rPr>
        <w:sz w:val="18"/>
        <w:szCs w:val="18"/>
      </w:rPr>
      <w:t xml:space="preserve">  </w:t>
    </w:r>
    <w:r>
      <w:rPr>
        <w:sz w:val="18"/>
        <w:szCs w:val="18"/>
      </w:rPr>
      <w:t xml:space="preserve">  </w:t>
    </w:r>
    <w:r w:rsidRPr="004D045B">
      <w:rPr>
        <w:sz w:val="18"/>
        <w:szCs w:val="18"/>
      </w:rPr>
      <w:t xml:space="preserve"> page </w:t>
    </w:r>
    <w:r w:rsidRPr="004D045B">
      <w:rPr>
        <w:sz w:val="18"/>
        <w:szCs w:val="18"/>
      </w:rPr>
      <w:fldChar w:fldCharType="begin"/>
    </w:r>
    <w:r w:rsidRPr="004D045B">
      <w:rPr>
        <w:sz w:val="18"/>
        <w:szCs w:val="18"/>
      </w:rPr>
      <w:instrText xml:space="preserve"> PAGE   \* MERGEFORMAT </w:instrText>
    </w:r>
    <w:r w:rsidRPr="004D045B">
      <w:rPr>
        <w:sz w:val="18"/>
        <w:szCs w:val="18"/>
      </w:rPr>
      <w:fldChar w:fldCharType="separate"/>
    </w:r>
    <w:r w:rsidR="001257C7">
      <w:rPr>
        <w:noProof/>
        <w:sz w:val="18"/>
        <w:szCs w:val="18"/>
      </w:rPr>
      <w:t>3</w:t>
    </w:r>
    <w:r w:rsidRPr="004D045B">
      <w:rPr>
        <w:noProof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48C1"/>
    <w:multiLevelType w:val="hybridMultilevel"/>
    <w:tmpl w:val="A1245D06"/>
    <w:lvl w:ilvl="0" w:tplc="9A3A1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903E9"/>
    <w:multiLevelType w:val="hybridMultilevel"/>
    <w:tmpl w:val="79D41B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003B8C"/>
    <w:multiLevelType w:val="multilevel"/>
    <w:tmpl w:val="6B44A208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>
    <w:nsid w:val="6F03221B"/>
    <w:multiLevelType w:val="multilevel"/>
    <w:tmpl w:val="F16A0AC4"/>
    <w:lvl w:ilvl="0">
      <w:start w:val="1"/>
      <w:numFmt w:val="decimal"/>
      <w:pStyle w:val="Section"/>
      <w:suff w:val="nothing"/>
      <w:lvlText w:val="SECTION %1 - "/>
      <w:lvlJc w:val="left"/>
      <w:pPr>
        <w:ind w:left="3024" w:hanging="3024"/>
      </w:pPr>
      <w:rPr>
        <w:rFonts w:hint="default"/>
      </w:rPr>
    </w:lvl>
    <w:lvl w:ilvl="1">
      <w:start w:val="1"/>
      <w:numFmt w:val="decimal"/>
      <w:pStyle w:val="Paragr2"/>
      <w:lvlText w:val="%2."/>
      <w:lvlJc w:val="left"/>
      <w:pPr>
        <w:tabs>
          <w:tab w:val="num" w:pos="1296"/>
        </w:tabs>
        <w:ind w:left="1296" w:hanging="576"/>
      </w:pPr>
      <w:rPr>
        <w:rFonts w:hint="default"/>
        <w:b w:val="0"/>
      </w:rPr>
    </w:lvl>
    <w:lvl w:ilvl="2">
      <w:start w:val="1"/>
      <w:numFmt w:val="upperLetter"/>
      <w:pStyle w:val="Paragr3"/>
      <w:lvlText w:val="%3."/>
      <w:lvlJc w:val="left"/>
      <w:pPr>
        <w:tabs>
          <w:tab w:val="num" w:pos="1872"/>
        </w:tabs>
        <w:ind w:left="1872" w:hanging="576"/>
      </w:pPr>
      <w:rPr>
        <w:rFonts w:hint="default"/>
      </w:rPr>
    </w:lvl>
    <w:lvl w:ilvl="3">
      <w:start w:val="1"/>
      <w:numFmt w:val="decimal"/>
      <w:pStyle w:val="Paragr4"/>
      <w:lvlText w:val="(%4)"/>
      <w:lvlJc w:val="left"/>
      <w:pPr>
        <w:tabs>
          <w:tab w:val="num" w:pos="2448"/>
        </w:tabs>
        <w:ind w:left="2448" w:hanging="576"/>
      </w:pPr>
      <w:rPr>
        <w:rFonts w:hint="default"/>
      </w:rPr>
    </w:lvl>
    <w:lvl w:ilvl="4">
      <w:start w:val="1"/>
      <w:numFmt w:val="lowerLetter"/>
      <w:pStyle w:val="Paragr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Roman"/>
      <w:pStyle w:val="Paragr6"/>
      <w:lvlText w:val="(%6)"/>
      <w:lvlJc w:val="left"/>
      <w:pPr>
        <w:tabs>
          <w:tab w:val="num" w:pos="3456"/>
        </w:tabs>
        <w:ind w:left="3456" w:hanging="432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92"/>
        </w:tabs>
        <w:ind w:left="0" w:firstLine="2448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3B"/>
    <w:rsid w:val="00047ED1"/>
    <w:rsid w:val="000B5883"/>
    <w:rsid w:val="001257C7"/>
    <w:rsid w:val="001A47D7"/>
    <w:rsid w:val="001E7ABA"/>
    <w:rsid w:val="0023015C"/>
    <w:rsid w:val="00296F38"/>
    <w:rsid w:val="00442737"/>
    <w:rsid w:val="00480D56"/>
    <w:rsid w:val="004D045B"/>
    <w:rsid w:val="00512A05"/>
    <w:rsid w:val="005572B1"/>
    <w:rsid w:val="005D72F3"/>
    <w:rsid w:val="005F7072"/>
    <w:rsid w:val="00620C45"/>
    <w:rsid w:val="00650A10"/>
    <w:rsid w:val="00730110"/>
    <w:rsid w:val="00863158"/>
    <w:rsid w:val="0087433D"/>
    <w:rsid w:val="009123DF"/>
    <w:rsid w:val="00942854"/>
    <w:rsid w:val="009946F8"/>
    <w:rsid w:val="009A7CD3"/>
    <w:rsid w:val="009B4BC9"/>
    <w:rsid w:val="00A216E9"/>
    <w:rsid w:val="00A9283F"/>
    <w:rsid w:val="00AF3706"/>
    <w:rsid w:val="00B007CA"/>
    <w:rsid w:val="00B15E3B"/>
    <w:rsid w:val="00B41DBA"/>
    <w:rsid w:val="00C262D8"/>
    <w:rsid w:val="00D66DA7"/>
    <w:rsid w:val="00E911C6"/>
    <w:rsid w:val="00E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E3B"/>
    <w:rPr>
      <w:rFonts w:eastAsia="Calibri"/>
      <w:sz w:val="22"/>
      <w:szCs w:val="22"/>
    </w:rPr>
  </w:style>
  <w:style w:type="paragraph" w:styleId="Heading1">
    <w:name w:val="heading 1"/>
    <w:basedOn w:val="Normal"/>
    <w:next w:val="Paragr2"/>
    <w:link w:val="Heading1Char"/>
    <w:qFormat/>
    <w:rsid w:val="00B15E3B"/>
    <w:pPr>
      <w:keepNext/>
      <w:keepLines/>
      <w:tabs>
        <w:tab w:val="left" w:pos="1440"/>
      </w:tabs>
      <w:spacing w:after="240"/>
      <w:outlineLvl w:val="0"/>
    </w:pPr>
    <w:rPr>
      <w:rFonts w:eastAsia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5E3B"/>
    <w:rPr>
      <w:b/>
      <w:bCs/>
      <w:color w:val="000000"/>
      <w:sz w:val="22"/>
      <w:szCs w:val="28"/>
      <w:lang w:val="en-US" w:eastAsia="en-US" w:bidi="ar-SA"/>
    </w:rPr>
  </w:style>
  <w:style w:type="paragraph" w:customStyle="1" w:styleId="Section">
    <w:name w:val="Section"/>
    <w:basedOn w:val="Heading1"/>
    <w:next w:val="Paragr2"/>
    <w:rsid w:val="00B15E3B"/>
    <w:pPr>
      <w:numPr>
        <w:numId w:val="2"/>
      </w:numPr>
      <w:tabs>
        <w:tab w:val="clear" w:pos="1440"/>
        <w:tab w:val="num" w:pos="360"/>
      </w:tabs>
      <w:spacing w:before="240"/>
      <w:ind w:left="0" w:firstLine="0"/>
    </w:pPr>
  </w:style>
  <w:style w:type="paragraph" w:customStyle="1" w:styleId="Paragr2">
    <w:name w:val="Paragr 2"/>
    <w:basedOn w:val="Normal"/>
    <w:rsid w:val="00B15E3B"/>
    <w:pPr>
      <w:numPr>
        <w:ilvl w:val="1"/>
        <w:numId w:val="2"/>
      </w:numPr>
      <w:tabs>
        <w:tab w:val="left" w:pos="576"/>
      </w:tabs>
      <w:spacing w:after="120"/>
    </w:pPr>
  </w:style>
  <w:style w:type="paragraph" w:styleId="Footer">
    <w:name w:val="footer"/>
    <w:basedOn w:val="Normal"/>
    <w:link w:val="FooterChar"/>
    <w:rsid w:val="00B15E3B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B15E3B"/>
    <w:rPr>
      <w:lang w:val="en-US" w:eastAsia="en-US" w:bidi="ar-SA"/>
    </w:rPr>
  </w:style>
  <w:style w:type="paragraph" w:customStyle="1" w:styleId="Paragr3">
    <w:name w:val="Paragr 3"/>
    <w:basedOn w:val="Normal"/>
    <w:rsid w:val="00B15E3B"/>
    <w:pPr>
      <w:numPr>
        <w:ilvl w:val="2"/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</w:tabs>
      <w:spacing w:after="120"/>
    </w:pPr>
  </w:style>
  <w:style w:type="paragraph" w:customStyle="1" w:styleId="Paragr4">
    <w:name w:val="Paragr 4"/>
    <w:basedOn w:val="Normal"/>
    <w:rsid w:val="00B15E3B"/>
    <w:pPr>
      <w:numPr>
        <w:ilvl w:val="3"/>
        <w:numId w:val="2"/>
      </w:numPr>
      <w:tabs>
        <w:tab w:val="left" w:pos="1296"/>
      </w:tabs>
      <w:spacing w:after="120"/>
    </w:pPr>
  </w:style>
  <w:style w:type="character" w:styleId="PageNumber">
    <w:name w:val="page number"/>
    <w:basedOn w:val="DefaultParagraphFont"/>
    <w:rsid w:val="00B15E3B"/>
  </w:style>
  <w:style w:type="paragraph" w:customStyle="1" w:styleId="Paragr5">
    <w:name w:val="Paragr 5"/>
    <w:basedOn w:val="Normal"/>
    <w:qFormat/>
    <w:rsid w:val="00B15E3B"/>
    <w:pPr>
      <w:numPr>
        <w:ilvl w:val="4"/>
        <w:numId w:val="2"/>
      </w:numPr>
      <w:spacing w:after="120"/>
    </w:pPr>
  </w:style>
  <w:style w:type="paragraph" w:customStyle="1" w:styleId="Paragr6">
    <w:name w:val="Paragr 6"/>
    <w:basedOn w:val="Normal"/>
    <w:qFormat/>
    <w:rsid w:val="00B15E3B"/>
    <w:pPr>
      <w:numPr>
        <w:ilvl w:val="5"/>
        <w:numId w:val="2"/>
      </w:numPr>
      <w:spacing w:after="120"/>
      <w:ind w:left="3600" w:hanging="576"/>
    </w:pPr>
  </w:style>
  <w:style w:type="paragraph" w:styleId="Header">
    <w:name w:val="header"/>
    <w:basedOn w:val="Normal"/>
    <w:link w:val="HeaderChar"/>
    <w:rsid w:val="00650A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0A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5E3B"/>
    <w:rPr>
      <w:rFonts w:eastAsia="Calibri"/>
      <w:sz w:val="22"/>
      <w:szCs w:val="22"/>
    </w:rPr>
  </w:style>
  <w:style w:type="paragraph" w:styleId="Heading1">
    <w:name w:val="heading 1"/>
    <w:basedOn w:val="Normal"/>
    <w:next w:val="Paragr2"/>
    <w:link w:val="Heading1Char"/>
    <w:qFormat/>
    <w:rsid w:val="00B15E3B"/>
    <w:pPr>
      <w:keepNext/>
      <w:keepLines/>
      <w:tabs>
        <w:tab w:val="left" w:pos="1440"/>
      </w:tabs>
      <w:spacing w:after="240"/>
      <w:outlineLvl w:val="0"/>
    </w:pPr>
    <w:rPr>
      <w:rFonts w:eastAsia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5E3B"/>
    <w:rPr>
      <w:b/>
      <w:bCs/>
      <w:color w:val="000000"/>
      <w:sz w:val="22"/>
      <w:szCs w:val="28"/>
      <w:lang w:val="en-US" w:eastAsia="en-US" w:bidi="ar-SA"/>
    </w:rPr>
  </w:style>
  <w:style w:type="paragraph" w:customStyle="1" w:styleId="Section">
    <w:name w:val="Section"/>
    <w:basedOn w:val="Heading1"/>
    <w:next w:val="Paragr2"/>
    <w:rsid w:val="00B15E3B"/>
    <w:pPr>
      <w:numPr>
        <w:numId w:val="2"/>
      </w:numPr>
      <w:tabs>
        <w:tab w:val="clear" w:pos="1440"/>
        <w:tab w:val="num" w:pos="360"/>
      </w:tabs>
      <w:spacing w:before="240"/>
      <w:ind w:left="0" w:firstLine="0"/>
    </w:pPr>
  </w:style>
  <w:style w:type="paragraph" w:customStyle="1" w:styleId="Paragr2">
    <w:name w:val="Paragr 2"/>
    <w:basedOn w:val="Normal"/>
    <w:rsid w:val="00B15E3B"/>
    <w:pPr>
      <w:numPr>
        <w:ilvl w:val="1"/>
        <w:numId w:val="2"/>
      </w:numPr>
      <w:tabs>
        <w:tab w:val="left" w:pos="576"/>
      </w:tabs>
      <w:spacing w:after="120"/>
    </w:pPr>
  </w:style>
  <w:style w:type="paragraph" w:styleId="Footer">
    <w:name w:val="footer"/>
    <w:basedOn w:val="Normal"/>
    <w:link w:val="FooterChar"/>
    <w:rsid w:val="00B15E3B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rsid w:val="00B15E3B"/>
    <w:rPr>
      <w:lang w:val="en-US" w:eastAsia="en-US" w:bidi="ar-SA"/>
    </w:rPr>
  </w:style>
  <w:style w:type="paragraph" w:customStyle="1" w:styleId="Paragr3">
    <w:name w:val="Paragr 3"/>
    <w:basedOn w:val="Normal"/>
    <w:rsid w:val="00B15E3B"/>
    <w:pPr>
      <w:numPr>
        <w:ilvl w:val="2"/>
        <w:numId w:val="2"/>
      </w:numPr>
      <w:tabs>
        <w:tab w:val="left" w:pos="720"/>
        <w:tab w:val="left" w:pos="1440"/>
        <w:tab w:val="left" w:pos="2160"/>
        <w:tab w:val="left" w:pos="2880"/>
        <w:tab w:val="left" w:pos="3600"/>
      </w:tabs>
      <w:spacing w:after="120"/>
    </w:pPr>
  </w:style>
  <w:style w:type="paragraph" w:customStyle="1" w:styleId="Paragr4">
    <w:name w:val="Paragr 4"/>
    <w:basedOn w:val="Normal"/>
    <w:rsid w:val="00B15E3B"/>
    <w:pPr>
      <w:numPr>
        <w:ilvl w:val="3"/>
        <w:numId w:val="2"/>
      </w:numPr>
      <w:tabs>
        <w:tab w:val="left" w:pos="1296"/>
      </w:tabs>
      <w:spacing w:after="120"/>
    </w:pPr>
  </w:style>
  <w:style w:type="character" w:styleId="PageNumber">
    <w:name w:val="page number"/>
    <w:basedOn w:val="DefaultParagraphFont"/>
    <w:rsid w:val="00B15E3B"/>
  </w:style>
  <w:style w:type="paragraph" w:customStyle="1" w:styleId="Paragr5">
    <w:name w:val="Paragr 5"/>
    <w:basedOn w:val="Normal"/>
    <w:qFormat/>
    <w:rsid w:val="00B15E3B"/>
    <w:pPr>
      <w:numPr>
        <w:ilvl w:val="4"/>
        <w:numId w:val="2"/>
      </w:numPr>
      <w:spacing w:after="120"/>
    </w:pPr>
  </w:style>
  <w:style w:type="paragraph" w:customStyle="1" w:styleId="Paragr6">
    <w:name w:val="Paragr 6"/>
    <w:basedOn w:val="Normal"/>
    <w:qFormat/>
    <w:rsid w:val="00B15E3B"/>
    <w:pPr>
      <w:numPr>
        <w:ilvl w:val="5"/>
        <w:numId w:val="2"/>
      </w:numPr>
      <w:spacing w:after="120"/>
      <w:ind w:left="3600" w:hanging="576"/>
    </w:pPr>
  </w:style>
  <w:style w:type="paragraph" w:styleId="Header">
    <w:name w:val="header"/>
    <w:basedOn w:val="Normal"/>
    <w:link w:val="HeaderChar"/>
    <w:rsid w:val="00650A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50A10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</vt:lpstr>
    </vt:vector>
  </TitlesOfParts>
  <Company>State of Maine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OIT</dc:creator>
  <cp:keywords/>
  <dc:description/>
  <cp:lastModifiedBy>Lajoie, Louisa</cp:lastModifiedBy>
  <cp:revision>2</cp:revision>
  <cp:lastPrinted>2014-02-21T15:47:00Z</cp:lastPrinted>
  <dcterms:created xsi:type="dcterms:W3CDTF">2014-09-24T11:46:00Z</dcterms:created>
  <dcterms:modified xsi:type="dcterms:W3CDTF">2014-09-24T11:46:00Z</dcterms:modified>
</cp:coreProperties>
</file>