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F567" w14:textId="77777777" w:rsidR="0061739D" w:rsidRPr="001E0559" w:rsidRDefault="0061739D" w:rsidP="0061739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right="-720"/>
        <w:rPr>
          <w:rFonts w:ascii="Times New Roman" w:hAnsi="Times New Roman"/>
          <w:b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>02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>DEPARTMENT OF PROFESSIONAL AND FINANCIAL REGULATION</w:t>
      </w:r>
    </w:p>
    <w:p w14:paraId="428770EC" w14:textId="77777777" w:rsidR="0061739D" w:rsidRPr="001E0559" w:rsidRDefault="0061739D" w:rsidP="0061739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right="-720"/>
        <w:rPr>
          <w:rFonts w:ascii="Times New Roman" w:hAnsi="Times New Roman"/>
          <w:b/>
          <w:spacing w:val="-2"/>
          <w:sz w:val="22"/>
          <w:szCs w:val="22"/>
        </w:rPr>
      </w:pPr>
    </w:p>
    <w:p w14:paraId="6103D4FD" w14:textId="77777777" w:rsidR="0061739D" w:rsidRPr="001E0559" w:rsidRDefault="0061739D" w:rsidP="0061739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>318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>ELECTRICIANS’ EXAMINING BOARD</w:t>
      </w:r>
    </w:p>
    <w:p w14:paraId="6B0EE425" w14:textId="77777777" w:rsidR="0061739D" w:rsidRPr="001E0559" w:rsidRDefault="0061739D" w:rsidP="0061739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</w:p>
    <w:p w14:paraId="35535169" w14:textId="77777777" w:rsidR="0061739D" w:rsidRPr="001E0559" w:rsidRDefault="0061739D" w:rsidP="0061739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rFonts w:ascii="Times New Roman" w:hAnsi="Times New Roman"/>
          <w:b/>
          <w:bCs/>
          <w:iCs/>
          <w:sz w:val="22"/>
          <w:szCs w:val="22"/>
        </w:rPr>
      </w:pPr>
      <w:r w:rsidRPr="001E0559">
        <w:rPr>
          <w:rFonts w:ascii="Times New Roman" w:hAnsi="Times New Roman"/>
          <w:b/>
          <w:bCs/>
          <w:iCs/>
          <w:sz w:val="22"/>
          <w:szCs w:val="22"/>
        </w:rPr>
        <w:t>Chapter 120:</w:t>
      </w:r>
      <w:r w:rsidRPr="001E0559">
        <w:rPr>
          <w:rFonts w:ascii="Times New Roman" w:hAnsi="Times New Roman"/>
          <w:b/>
          <w:bCs/>
          <w:iCs/>
          <w:sz w:val="22"/>
          <w:szCs w:val="22"/>
        </w:rPr>
        <w:tab/>
        <w:t>ELECTRICAL INSTALLATION STANDARDS</w:t>
      </w:r>
    </w:p>
    <w:p w14:paraId="5866E742" w14:textId="77777777" w:rsidR="0061739D" w:rsidRPr="001E0559" w:rsidRDefault="0061739D" w:rsidP="0061739D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7EC2BF11" w14:textId="77777777" w:rsidR="0061739D" w:rsidRPr="001E0559" w:rsidRDefault="0061739D" w:rsidP="0061739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right="-720"/>
        <w:rPr>
          <w:rFonts w:ascii="Times New Roman" w:hAnsi="Times New Roman"/>
          <w:spacing w:val="-2"/>
          <w:sz w:val="22"/>
          <w:szCs w:val="22"/>
        </w:rPr>
      </w:pPr>
    </w:p>
    <w:p w14:paraId="1028E531" w14:textId="79279B5C" w:rsidR="0061739D" w:rsidRPr="001E0559" w:rsidRDefault="0061739D" w:rsidP="0043186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>SUMMARY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: </w:t>
      </w:r>
      <w:r w:rsidR="006A3850">
        <w:rPr>
          <w:rFonts w:ascii="Times New Roman" w:hAnsi="Times New Roman"/>
          <w:spacing w:val="-2"/>
          <w:sz w:val="22"/>
          <w:szCs w:val="22"/>
        </w:rPr>
        <w:t>Pursuant to authority in 32 M.R.S. §§ 1153 and 1153-A, t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his chapter </w:t>
      </w:r>
      <w:r w:rsidR="006257F1" w:rsidRPr="001E0559">
        <w:rPr>
          <w:rFonts w:ascii="Times New Roman" w:hAnsi="Times New Roman"/>
          <w:spacing w:val="-2"/>
          <w:sz w:val="22"/>
          <w:szCs w:val="22"/>
        </w:rPr>
        <w:t>adopts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 the current edition of the </w:t>
      </w:r>
      <w:r w:rsidRPr="001E0559">
        <w:rPr>
          <w:rFonts w:ascii="Times New Roman" w:hAnsi="Times New Roman"/>
          <w:i/>
          <w:spacing w:val="-2"/>
          <w:sz w:val="22"/>
          <w:szCs w:val="22"/>
        </w:rPr>
        <w:t>National Electrical Code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 to which all installations must conform.</w:t>
      </w:r>
    </w:p>
    <w:p w14:paraId="0BED3F94" w14:textId="77777777" w:rsidR="0061739D" w:rsidRPr="001E0559" w:rsidRDefault="0061739D" w:rsidP="0043186E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1BA04257" w14:textId="77777777" w:rsidR="00710CEF" w:rsidRPr="001E0559" w:rsidRDefault="00710CEF" w:rsidP="0043186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28AC7ED0" w14:textId="0730BCC9" w:rsidR="0061739D" w:rsidRPr="00BD0A57" w:rsidRDefault="00702F22" w:rsidP="00BD0A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1440"/>
        <w:jc w:val="both"/>
        <w:rPr>
          <w:rFonts w:ascii="Times New Roman" w:hAnsi="Times New Roman"/>
          <w:spacing w:val="-2"/>
          <w:sz w:val="22"/>
          <w:szCs w:val="22"/>
        </w:rPr>
      </w:pPr>
      <w:r w:rsidRPr="00BD0A57">
        <w:rPr>
          <w:rFonts w:ascii="Times New Roman" w:hAnsi="Times New Roman"/>
          <w:bCs/>
          <w:spacing w:val="-2"/>
          <w:sz w:val="22"/>
          <w:szCs w:val="22"/>
        </w:rPr>
        <w:t xml:space="preserve">SECTION </w:t>
      </w:r>
      <w:r w:rsidR="0061739D" w:rsidRPr="00BD0A57">
        <w:rPr>
          <w:rFonts w:ascii="Times New Roman" w:hAnsi="Times New Roman"/>
          <w:bCs/>
          <w:spacing w:val="-2"/>
          <w:sz w:val="22"/>
          <w:szCs w:val="22"/>
        </w:rPr>
        <w:t>1.</w:t>
      </w:r>
      <w:r w:rsidR="0061739D" w:rsidRPr="00BD0A57">
        <w:rPr>
          <w:rFonts w:ascii="Times New Roman" w:hAnsi="Times New Roman"/>
          <w:bCs/>
          <w:spacing w:val="-2"/>
          <w:sz w:val="22"/>
          <w:szCs w:val="22"/>
        </w:rPr>
        <w:tab/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>All installations of electrical equipment commencing on or after</w:t>
      </w:r>
      <w:r w:rsidR="00A114D5" w:rsidRPr="00BD0A57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706A0" w:rsidRPr="00BD0A57">
        <w:rPr>
          <w:rFonts w:ascii="Times New Roman" w:hAnsi="Times New Roman"/>
          <w:spacing w:val="-2"/>
          <w:sz w:val="22"/>
          <w:szCs w:val="22"/>
        </w:rPr>
        <w:t>July</w:t>
      </w:r>
      <w:r w:rsidR="00A114D5" w:rsidRPr="00BD0A57">
        <w:rPr>
          <w:rFonts w:ascii="Times New Roman" w:hAnsi="Times New Roman"/>
          <w:spacing w:val="-2"/>
          <w:sz w:val="22"/>
          <w:szCs w:val="22"/>
        </w:rPr>
        <w:t xml:space="preserve"> 1</w:t>
      </w:r>
      <w:r w:rsidR="002257F0" w:rsidRPr="00BD0A57">
        <w:rPr>
          <w:rFonts w:ascii="Times New Roman" w:hAnsi="Times New Roman"/>
          <w:spacing w:val="-2"/>
          <w:sz w:val="22"/>
          <w:szCs w:val="22"/>
        </w:rPr>
        <w:t>,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 xml:space="preserve"> 202</w:t>
      </w:r>
      <w:r w:rsidR="00BE3AAB" w:rsidRPr="00BD0A57">
        <w:rPr>
          <w:rFonts w:ascii="Times New Roman" w:hAnsi="Times New Roman"/>
          <w:spacing w:val="-2"/>
          <w:sz w:val="22"/>
          <w:szCs w:val="22"/>
        </w:rPr>
        <w:t>4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 xml:space="preserve"> must comply with the </w:t>
      </w:r>
      <w:r w:rsidR="00304B55" w:rsidRPr="00BD0A57">
        <w:rPr>
          <w:rFonts w:ascii="Times New Roman" w:hAnsi="Times New Roman"/>
          <w:spacing w:val="-2"/>
          <w:sz w:val="22"/>
          <w:szCs w:val="22"/>
        </w:rPr>
        <w:t xml:space="preserve">2023 National Electrical Code </w:t>
      </w:r>
      <w:r w:rsidR="00BB5BD5" w:rsidRPr="00BD0A57">
        <w:rPr>
          <w:rFonts w:ascii="Times New Roman" w:hAnsi="Times New Roman"/>
          <w:spacing w:val="-2"/>
          <w:sz w:val="22"/>
          <w:szCs w:val="22"/>
        </w:rPr>
        <w:t xml:space="preserve">as </w:t>
      </w:r>
      <w:r w:rsidR="00304B55" w:rsidRPr="00BD0A57">
        <w:rPr>
          <w:rFonts w:ascii="Times New Roman" w:hAnsi="Times New Roman"/>
          <w:spacing w:val="-2"/>
          <w:sz w:val="22"/>
          <w:szCs w:val="22"/>
        </w:rPr>
        <w:t>adopted by the Board</w:t>
      </w:r>
      <w:r w:rsidR="00BB5BD5" w:rsidRPr="00BD0A57">
        <w:rPr>
          <w:rFonts w:ascii="Times New Roman" w:hAnsi="Times New Roman"/>
          <w:spacing w:val="-2"/>
          <w:sz w:val="22"/>
          <w:szCs w:val="22"/>
        </w:rPr>
        <w:t xml:space="preserve"> in this Chapter</w:t>
      </w:r>
      <w:r w:rsidR="00304B55" w:rsidRPr="00BD0A57">
        <w:rPr>
          <w:rFonts w:ascii="Times New Roman" w:hAnsi="Times New Roman"/>
          <w:spacing w:val="-2"/>
          <w:sz w:val="22"/>
          <w:szCs w:val="22"/>
        </w:rPr>
        <w:t>,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 xml:space="preserve"> as well as with all applicable statutes or rules of the State and this Board and all applicable ordinances, orders, rules and regulations of local municipalities.</w:t>
      </w:r>
    </w:p>
    <w:p w14:paraId="7C89A9E8" w14:textId="77777777" w:rsidR="0061739D" w:rsidRPr="00BD0A57" w:rsidRDefault="0061739D" w:rsidP="00BD0A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484819E6" w14:textId="405ED5DF" w:rsidR="0061739D" w:rsidRPr="00BD0A57" w:rsidRDefault="00702F22" w:rsidP="00BD0A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1440"/>
        <w:jc w:val="both"/>
        <w:rPr>
          <w:rFonts w:ascii="Times New Roman" w:hAnsi="Times New Roman"/>
          <w:spacing w:val="-2"/>
          <w:sz w:val="22"/>
          <w:szCs w:val="22"/>
        </w:rPr>
      </w:pPr>
      <w:r w:rsidRPr="00BD0A57">
        <w:rPr>
          <w:rFonts w:ascii="Times New Roman" w:hAnsi="Times New Roman"/>
          <w:bCs/>
          <w:spacing w:val="-2"/>
          <w:sz w:val="22"/>
          <w:szCs w:val="22"/>
        </w:rPr>
        <w:t xml:space="preserve">SECTION </w:t>
      </w:r>
      <w:r w:rsidR="0061739D" w:rsidRPr="00BD0A57">
        <w:rPr>
          <w:rFonts w:ascii="Times New Roman" w:hAnsi="Times New Roman"/>
          <w:bCs/>
          <w:spacing w:val="-2"/>
          <w:sz w:val="22"/>
          <w:szCs w:val="22"/>
        </w:rPr>
        <w:t>2.</w:t>
      </w:r>
      <w:r w:rsidR="0061739D" w:rsidRPr="00BD0A57">
        <w:rPr>
          <w:rFonts w:ascii="Times New Roman" w:hAnsi="Times New Roman"/>
          <w:bCs/>
          <w:spacing w:val="-2"/>
          <w:sz w:val="22"/>
          <w:szCs w:val="22"/>
        </w:rPr>
        <w:tab/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>The Board hereby adopts and incorporates into this chapter by reference</w:t>
      </w:r>
      <w:r w:rsidR="00ED3056" w:rsidRPr="00BD0A57">
        <w:rPr>
          <w:rFonts w:ascii="Times New Roman" w:hAnsi="Times New Roman"/>
          <w:spacing w:val="-2"/>
          <w:sz w:val="22"/>
          <w:szCs w:val="22"/>
        </w:rPr>
        <w:t xml:space="preserve"> the </w:t>
      </w:r>
      <w:r w:rsidR="00A40CF3" w:rsidRPr="00BD0A57">
        <w:rPr>
          <w:rFonts w:ascii="Times New Roman" w:hAnsi="Times New Roman"/>
          <w:spacing w:val="-2"/>
          <w:sz w:val="22"/>
          <w:szCs w:val="22"/>
        </w:rPr>
        <w:t>NFPA</w:t>
      </w:r>
      <w:r w:rsidR="006A3850" w:rsidRPr="00BD0A57">
        <w:rPr>
          <w:rFonts w:ascii="Times New Roman" w:hAnsi="Times New Roman"/>
          <w:spacing w:val="-2"/>
          <w:sz w:val="22"/>
          <w:szCs w:val="22"/>
        </w:rPr>
        <w:t xml:space="preserve"> standard</w:t>
      </w:r>
      <w:r w:rsidR="00A40CF3" w:rsidRPr="00BD0A57">
        <w:rPr>
          <w:rFonts w:ascii="Times New Roman" w:hAnsi="Times New Roman"/>
          <w:spacing w:val="-2"/>
          <w:sz w:val="22"/>
          <w:szCs w:val="22"/>
        </w:rPr>
        <w:t xml:space="preserve"> 70</w:t>
      </w:r>
      <w:r w:rsidR="0085153E" w:rsidRPr="00BD0A57">
        <w:rPr>
          <w:rFonts w:ascii="Times New Roman" w:hAnsi="Times New Roman"/>
          <w:spacing w:val="-2"/>
          <w:sz w:val="22"/>
          <w:szCs w:val="22"/>
        </w:rPr>
        <w:t xml:space="preserve">, National Electrical Code 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>(202</w:t>
      </w:r>
      <w:r w:rsidR="00BE3AAB" w:rsidRPr="00BD0A57">
        <w:rPr>
          <w:rFonts w:ascii="Times New Roman" w:hAnsi="Times New Roman"/>
          <w:spacing w:val="-2"/>
          <w:sz w:val="22"/>
          <w:szCs w:val="22"/>
        </w:rPr>
        <w:t>3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 xml:space="preserve"> edition),</w:t>
      </w:r>
      <w:r w:rsidR="0085153E" w:rsidRPr="00BD0A57">
        <w:rPr>
          <w:rFonts w:ascii="Times New Roman" w:hAnsi="Times New Roman"/>
          <w:spacing w:val="-2"/>
          <w:sz w:val="22"/>
          <w:szCs w:val="22"/>
        </w:rPr>
        <w:t xml:space="preserve"> Copyright © 2022 National Fire Protection Association,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1077DC" w:rsidRPr="00BD0A57">
        <w:rPr>
          <w:rFonts w:ascii="Times New Roman" w:hAnsi="Times New Roman"/>
          <w:spacing w:val="-2"/>
          <w:sz w:val="22"/>
          <w:szCs w:val="22"/>
        </w:rPr>
        <w:t xml:space="preserve">subject to 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 xml:space="preserve">the following </w:t>
      </w:r>
      <w:r w:rsidR="00217338" w:rsidRPr="00BD0A57">
        <w:rPr>
          <w:rFonts w:ascii="Times New Roman" w:hAnsi="Times New Roman"/>
          <w:spacing w:val="-2"/>
          <w:sz w:val="22"/>
          <w:szCs w:val="22"/>
        </w:rPr>
        <w:t xml:space="preserve">amendments and 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>ex</w:t>
      </w:r>
      <w:r w:rsidR="001077DC" w:rsidRPr="00BD0A57">
        <w:rPr>
          <w:rFonts w:ascii="Times New Roman" w:hAnsi="Times New Roman"/>
          <w:spacing w:val="-2"/>
          <w:sz w:val="22"/>
          <w:szCs w:val="22"/>
        </w:rPr>
        <w:t>clusions</w:t>
      </w:r>
      <w:r w:rsidR="0061739D" w:rsidRPr="00BD0A57">
        <w:rPr>
          <w:rFonts w:ascii="Times New Roman" w:hAnsi="Times New Roman"/>
          <w:spacing w:val="-2"/>
          <w:sz w:val="22"/>
          <w:szCs w:val="22"/>
        </w:rPr>
        <w:t>:</w:t>
      </w:r>
    </w:p>
    <w:p w14:paraId="63A25D51" w14:textId="66E2C6F0" w:rsidR="00BE3AAB" w:rsidRPr="00BD0A57" w:rsidRDefault="00BE3AAB" w:rsidP="00BD0A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 w:hanging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268795D5" w14:textId="67F30978" w:rsidR="00917D56" w:rsidRPr="00BD0A57" w:rsidRDefault="00EA5484" w:rsidP="00BD0A5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720"/>
        <w:jc w:val="both"/>
        <w:rPr>
          <w:rFonts w:ascii="Times New Roman" w:hAnsi="Times New Roman"/>
          <w:spacing w:val="-2"/>
          <w:sz w:val="22"/>
          <w:szCs w:val="22"/>
        </w:rPr>
      </w:pPr>
      <w:r w:rsidRPr="00BD0A57">
        <w:rPr>
          <w:rFonts w:ascii="Times New Roman" w:hAnsi="Times New Roman"/>
          <w:spacing w:val="-2"/>
          <w:sz w:val="22"/>
          <w:szCs w:val="22"/>
        </w:rPr>
        <w:t>The Board adopts Article 90.</w:t>
      </w:r>
      <w:r w:rsidR="008750EB" w:rsidRPr="00BD0A57">
        <w:rPr>
          <w:rFonts w:ascii="Times New Roman" w:hAnsi="Times New Roman"/>
          <w:spacing w:val="-2"/>
          <w:sz w:val="22"/>
          <w:szCs w:val="22"/>
        </w:rPr>
        <w:t xml:space="preserve">4(D) as amended below: </w:t>
      </w:r>
    </w:p>
    <w:p w14:paraId="34015FEB" w14:textId="77777777" w:rsidR="008750EB" w:rsidRPr="00BD0A57" w:rsidRDefault="008750EB" w:rsidP="00BD0A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2E3B93F0" w14:textId="77777777" w:rsidR="002053A5" w:rsidRPr="00BD0A57" w:rsidRDefault="008750EB" w:rsidP="00BD0A57">
      <w:pPr>
        <w:ind w:left="2160"/>
        <w:jc w:val="both"/>
        <w:rPr>
          <w:rFonts w:ascii="Times New Roman" w:hAnsi="Times New Roman"/>
          <w:sz w:val="22"/>
          <w:szCs w:val="22"/>
        </w:rPr>
      </w:pPr>
      <w:r w:rsidRPr="00BD0A57">
        <w:rPr>
          <w:rFonts w:ascii="Times New Roman" w:hAnsi="Times New Roman"/>
          <w:b/>
          <w:bCs/>
          <w:spacing w:val="-2"/>
          <w:sz w:val="22"/>
          <w:szCs w:val="22"/>
        </w:rPr>
        <w:t>(</w:t>
      </w:r>
      <w:r w:rsidR="006E755E" w:rsidRPr="00BD0A57">
        <w:rPr>
          <w:rFonts w:ascii="Times New Roman" w:hAnsi="Times New Roman"/>
          <w:b/>
          <w:bCs/>
          <w:spacing w:val="-2"/>
          <w:sz w:val="22"/>
          <w:szCs w:val="22"/>
        </w:rPr>
        <w:t>D) New Products, Constructions or Materials</w:t>
      </w:r>
      <w:r w:rsidR="006E755E" w:rsidRPr="00BD0A57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6E755E" w:rsidRPr="00BD0A57">
        <w:rPr>
          <w:rFonts w:ascii="Times New Roman" w:hAnsi="Times New Roman"/>
          <w:sz w:val="22"/>
          <w:szCs w:val="22"/>
        </w:rPr>
        <w:t xml:space="preserve">This </w:t>
      </w:r>
      <w:r w:rsidR="006E755E" w:rsidRPr="00BD0A57">
        <w:rPr>
          <w:rFonts w:ascii="Times New Roman" w:hAnsi="Times New Roman"/>
          <w:i/>
          <w:iCs/>
          <w:sz w:val="22"/>
          <w:szCs w:val="22"/>
        </w:rPr>
        <w:t xml:space="preserve">Code </w:t>
      </w:r>
      <w:r w:rsidR="006E755E" w:rsidRPr="00BD0A57">
        <w:rPr>
          <w:rFonts w:ascii="Times New Roman" w:hAnsi="Times New Roman"/>
          <w:sz w:val="22"/>
          <w:szCs w:val="22"/>
        </w:rPr>
        <w:t xml:space="preserve">may require new products, constructions, or materials that may not yet be available at the time the </w:t>
      </w:r>
      <w:r w:rsidR="006E755E" w:rsidRPr="00BD0A57">
        <w:rPr>
          <w:rFonts w:ascii="Times New Roman" w:hAnsi="Times New Roman"/>
          <w:i/>
          <w:iCs/>
          <w:sz w:val="22"/>
          <w:szCs w:val="22"/>
        </w:rPr>
        <w:t xml:space="preserve">Code </w:t>
      </w:r>
      <w:r w:rsidR="006E755E" w:rsidRPr="00BD0A57">
        <w:rPr>
          <w:rFonts w:ascii="Times New Roman" w:hAnsi="Times New Roman"/>
          <w:sz w:val="22"/>
          <w:szCs w:val="22"/>
        </w:rPr>
        <w:t xml:space="preserve">is adopted. In such event, the authority having jurisdiction may permit the use of the products, constructions, or materials that comply with the previous two (2) editions of this </w:t>
      </w:r>
      <w:r w:rsidR="006E755E" w:rsidRPr="00BD0A57">
        <w:rPr>
          <w:rFonts w:ascii="Times New Roman" w:hAnsi="Times New Roman"/>
          <w:i/>
          <w:iCs/>
          <w:sz w:val="22"/>
          <w:szCs w:val="22"/>
        </w:rPr>
        <w:t xml:space="preserve">Code </w:t>
      </w:r>
      <w:r w:rsidR="006E755E" w:rsidRPr="00BD0A57">
        <w:rPr>
          <w:rFonts w:ascii="Times New Roman" w:hAnsi="Times New Roman"/>
          <w:sz w:val="22"/>
          <w:szCs w:val="22"/>
        </w:rPr>
        <w:t>adopted by the jurisdiction.</w:t>
      </w:r>
    </w:p>
    <w:p w14:paraId="2E5CCA64" w14:textId="77777777" w:rsidR="002053A5" w:rsidRDefault="002053A5" w:rsidP="002053A5">
      <w:pPr>
        <w:ind w:left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2B782548" w14:textId="68C13214" w:rsidR="00BE3AAB" w:rsidRPr="002053A5" w:rsidRDefault="00BE3AAB" w:rsidP="002053A5">
      <w:pPr>
        <w:pStyle w:val="ListParagraph"/>
        <w:numPr>
          <w:ilvl w:val="0"/>
          <w:numId w:val="10"/>
        </w:numPr>
        <w:ind w:left="2160" w:hanging="720"/>
        <w:jc w:val="both"/>
        <w:rPr>
          <w:rFonts w:ascii="Times New Roman" w:hAnsi="Times New Roman"/>
        </w:rPr>
      </w:pPr>
      <w:r w:rsidRPr="002053A5">
        <w:rPr>
          <w:rFonts w:ascii="Times New Roman" w:hAnsi="Times New Roman"/>
          <w:spacing w:val="-2"/>
          <w:sz w:val="22"/>
          <w:szCs w:val="22"/>
        </w:rPr>
        <w:t xml:space="preserve">The Board adopts Article 100, excepting the definition of Dormitory Unit, which the Board adopts as amended below: </w:t>
      </w:r>
    </w:p>
    <w:p w14:paraId="3B3B0CC1" w14:textId="77777777" w:rsidR="00BE3AAB" w:rsidRPr="001E0559" w:rsidRDefault="00BE3AAB" w:rsidP="0038518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63651A88" w14:textId="01065053" w:rsidR="00BE3AAB" w:rsidRPr="001E0559" w:rsidRDefault="00BE3AAB" w:rsidP="002053A5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firstLine="1440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>ARTICLE 100</w:t>
      </w:r>
    </w:p>
    <w:p w14:paraId="38B7CC1E" w14:textId="6A444024" w:rsidR="00BE3AAB" w:rsidRPr="001E0559" w:rsidRDefault="00BE3AAB" w:rsidP="002053A5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firstLine="1440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 xml:space="preserve">Definitions . . . </w:t>
      </w:r>
    </w:p>
    <w:p w14:paraId="7E1E6646" w14:textId="77777777" w:rsidR="00BE3AAB" w:rsidRPr="001E0559" w:rsidRDefault="00BE3AAB" w:rsidP="002053A5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firstLine="1440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6F46814A" w14:textId="398D127D" w:rsidR="00BE3AAB" w:rsidRPr="001E0559" w:rsidRDefault="00BE3AAB" w:rsidP="002053A5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2160"/>
        <w:jc w:val="both"/>
        <w:rPr>
          <w:rFonts w:ascii="Arial" w:hAnsi="Arial" w:cs="Arial"/>
          <w:color w:val="1F497D"/>
          <w:sz w:val="22"/>
          <w:szCs w:val="22"/>
        </w:rPr>
      </w:pPr>
      <w:r w:rsidRPr="001E0559">
        <w:rPr>
          <w:rFonts w:ascii="Times New Roman" w:hAnsi="Times New Roman"/>
          <w:b/>
          <w:bCs/>
          <w:sz w:val="22"/>
          <w:szCs w:val="22"/>
        </w:rPr>
        <w:t>Dormitory Unit.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E0559">
        <w:rPr>
          <w:rFonts w:ascii="Times New Roman" w:hAnsi="Times New Roman"/>
          <w:sz w:val="22"/>
          <w:szCs w:val="22"/>
        </w:rPr>
        <w:t xml:space="preserve">A building or a space in a building in which group sleeping accommodations are provided for </w:t>
      </w:r>
      <w:r w:rsidRPr="001E0559">
        <w:rPr>
          <w:rFonts w:ascii="Times New Roman" w:hAnsi="Times New Roman"/>
          <w:iCs/>
          <w:sz w:val="22"/>
          <w:szCs w:val="22"/>
        </w:rPr>
        <w:t>any number of persons</w:t>
      </w:r>
      <w:r w:rsidRPr="001E0559">
        <w:rPr>
          <w:rFonts w:ascii="Times New Roman" w:hAnsi="Times New Roman"/>
          <w:sz w:val="22"/>
          <w:szCs w:val="22"/>
        </w:rPr>
        <w:t xml:space="preserve"> who are not members of the same family in one room, or a series of closely associated rooms, under joint occupancy and single management, with or without meals, but without individual cooking facilities. (CMP</w:t>
      </w:r>
      <w:r w:rsidR="00E7417C">
        <w:rPr>
          <w:rFonts w:ascii="Times New Roman" w:hAnsi="Times New Roman"/>
          <w:sz w:val="22"/>
          <w:szCs w:val="22"/>
        </w:rPr>
        <w:t>-</w:t>
      </w:r>
      <w:r w:rsidRPr="001E0559">
        <w:rPr>
          <w:rFonts w:ascii="Times New Roman" w:hAnsi="Times New Roman"/>
          <w:sz w:val="22"/>
          <w:szCs w:val="22"/>
        </w:rPr>
        <w:t>2)</w:t>
      </w:r>
    </w:p>
    <w:p w14:paraId="24F6CF37" w14:textId="77777777" w:rsidR="00BE3AAB" w:rsidRPr="001E0559" w:rsidRDefault="00BE3AAB" w:rsidP="0038518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 w:hanging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62B65042" w14:textId="2160E3FC" w:rsidR="00FC3C3A" w:rsidRPr="00261A19" w:rsidRDefault="00FC3C3A" w:rsidP="00261A1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720"/>
        <w:jc w:val="both"/>
        <w:rPr>
          <w:rFonts w:ascii="Times New Roman" w:hAnsi="Times New Roman"/>
          <w:spacing w:val="-2"/>
          <w:sz w:val="22"/>
          <w:szCs w:val="22"/>
        </w:rPr>
      </w:pPr>
      <w:r w:rsidRPr="00261A19">
        <w:rPr>
          <w:rFonts w:ascii="Times New Roman" w:hAnsi="Times New Roman"/>
          <w:spacing w:val="-2"/>
          <w:sz w:val="22"/>
          <w:szCs w:val="22"/>
        </w:rPr>
        <w:t xml:space="preserve">The Board adopts </w:t>
      </w:r>
      <w:r w:rsidR="00381984" w:rsidRPr="00261A19">
        <w:rPr>
          <w:rFonts w:ascii="Times New Roman" w:hAnsi="Times New Roman"/>
          <w:spacing w:val="-2"/>
          <w:sz w:val="22"/>
          <w:szCs w:val="22"/>
        </w:rPr>
        <w:t xml:space="preserve">Article </w:t>
      </w:r>
      <w:r w:rsidRPr="00261A19">
        <w:rPr>
          <w:rFonts w:ascii="Times New Roman" w:hAnsi="Times New Roman"/>
          <w:spacing w:val="-2"/>
          <w:sz w:val="22"/>
          <w:szCs w:val="22"/>
        </w:rPr>
        <w:t xml:space="preserve">210.8(A)(6) as amended below: </w:t>
      </w:r>
    </w:p>
    <w:p w14:paraId="1018AD41" w14:textId="655EC2AF" w:rsidR="00FC3C3A" w:rsidRDefault="00FC3C3A" w:rsidP="0038518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7F5FA948" w14:textId="4630D297" w:rsidR="00FC3C3A" w:rsidRDefault="00FC3C3A" w:rsidP="00261A1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firstLine="0"/>
        <w:jc w:val="both"/>
        <w:rPr>
          <w:rFonts w:ascii="Times New Roman" w:hAnsi="Times New Roman"/>
          <w:spacing w:val="-2"/>
          <w:sz w:val="22"/>
          <w:szCs w:val="22"/>
        </w:rPr>
      </w:pPr>
      <w:r w:rsidRPr="007534B5">
        <w:rPr>
          <w:rFonts w:ascii="Times New Roman" w:hAnsi="Times New Roman"/>
          <w:b/>
          <w:bCs/>
          <w:spacing w:val="-2"/>
          <w:sz w:val="22"/>
          <w:szCs w:val="22"/>
        </w:rPr>
        <w:t>Dwelling Units.</w:t>
      </w:r>
      <w:r>
        <w:rPr>
          <w:rFonts w:ascii="Times New Roman" w:hAnsi="Times New Roman"/>
          <w:spacing w:val="-2"/>
          <w:sz w:val="22"/>
          <w:szCs w:val="22"/>
        </w:rPr>
        <w:t xml:space="preserve">  All 125-volt through 250-volt receptacles installed in the following locations and supplied by single-phase branch circuits raised 150 volts or less to ground shall have ground-fault circuit-interrupt</w:t>
      </w:r>
      <w:r w:rsidR="007534B5">
        <w:rPr>
          <w:rFonts w:ascii="Times New Roman" w:hAnsi="Times New Roman"/>
          <w:spacing w:val="-2"/>
          <w:sz w:val="22"/>
          <w:szCs w:val="22"/>
        </w:rPr>
        <w:t xml:space="preserve">er protection for personnel: </w:t>
      </w:r>
    </w:p>
    <w:p w14:paraId="61A43C10" w14:textId="77777777" w:rsidR="002C51F0" w:rsidRDefault="002C51F0" w:rsidP="002C51F0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615FD64E" w14:textId="35285E34" w:rsidR="002C51F0" w:rsidRDefault="002C51F0" w:rsidP="002C51F0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800"/>
        <w:jc w:val="center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Cs w:val="24"/>
        </w:rPr>
        <w:t>* * *</w:t>
      </w:r>
    </w:p>
    <w:p w14:paraId="05162503" w14:textId="7EB4B7F5" w:rsidR="007534B5" w:rsidRDefault="007534B5" w:rsidP="00385187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76022B29" w14:textId="7C718F3B" w:rsidR="007534B5" w:rsidRDefault="00261A19" w:rsidP="00261A19">
      <w:pPr>
        <w:pStyle w:val="ListParagraph"/>
        <w:tabs>
          <w:tab w:val="left" w:pos="720"/>
          <w:tab w:val="left" w:pos="1440"/>
          <w:tab w:val="left" w:pos="2160"/>
          <w:tab w:val="left" w:pos="3240"/>
          <w:tab w:val="left" w:pos="4320"/>
        </w:tabs>
        <w:ind w:left="180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r w:rsidR="007534B5">
        <w:rPr>
          <w:rFonts w:ascii="Times New Roman" w:hAnsi="Times New Roman"/>
          <w:spacing w:val="-2"/>
          <w:sz w:val="22"/>
          <w:szCs w:val="22"/>
        </w:rPr>
        <w:t xml:space="preserve">(6) Kitchens, except for those specific appliances listed in 210.8(D)(8), (9) and (10). </w:t>
      </w:r>
    </w:p>
    <w:p w14:paraId="3250289C" w14:textId="77777777" w:rsidR="00EE0175" w:rsidRDefault="00EE0175" w:rsidP="00385187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681772C" w14:textId="66D5183F" w:rsidR="007534B5" w:rsidRDefault="007534B5" w:rsidP="00261A19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lastRenderedPageBreak/>
        <w:tab/>
      </w:r>
      <w:r w:rsidR="00261A19">
        <w:rPr>
          <w:rFonts w:ascii="Times New Roman" w:hAnsi="Times New Roman"/>
          <w:spacing w:val="-2"/>
          <w:sz w:val="22"/>
          <w:szCs w:val="22"/>
        </w:rPr>
        <w:tab/>
      </w:r>
      <w:r w:rsidR="00C12675">
        <w:rPr>
          <w:rFonts w:ascii="Times New Roman" w:hAnsi="Times New Roman"/>
          <w:spacing w:val="-2"/>
          <w:sz w:val="22"/>
          <w:szCs w:val="22"/>
        </w:rPr>
        <w:t>4</w:t>
      </w:r>
      <w:r>
        <w:rPr>
          <w:rFonts w:ascii="Times New Roman" w:hAnsi="Times New Roman"/>
          <w:spacing w:val="-2"/>
          <w:sz w:val="22"/>
          <w:szCs w:val="22"/>
        </w:rPr>
        <w:t xml:space="preserve">. </w:t>
      </w:r>
      <w:r>
        <w:rPr>
          <w:rFonts w:ascii="Times New Roman" w:hAnsi="Times New Roman"/>
          <w:spacing w:val="-2"/>
          <w:sz w:val="22"/>
          <w:szCs w:val="22"/>
        </w:rPr>
        <w:tab/>
        <w:t>The Board adopts Article 210.8</w:t>
      </w:r>
      <w:r w:rsidR="0079666A">
        <w:rPr>
          <w:rFonts w:ascii="Times New Roman" w:hAnsi="Times New Roman"/>
          <w:spacing w:val="-2"/>
          <w:sz w:val="22"/>
          <w:szCs w:val="22"/>
        </w:rPr>
        <w:t xml:space="preserve"> (B)</w:t>
      </w:r>
      <w:r>
        <w:rPr>
          <w:rFonts w:ascii="Times New Roman" w:hAnsi="Times New Roman"/>
          <w:spacing w:val="-2"/>
          <w:sz w:val="22"/>
          <w:szCs w:val="22"/>
        </w:rPr>
        <w:t xml:space="preserve">(2) as amended below: </w:t>
      </w:r>
    </w:p>
    <w:p w14:paraId="6DAAD2D7" w14:textId="77777777" w:rsidR="004F7889" w:rsidRDefault="004F7889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7A2F4664" w14:textId="1D511E14" w:rsidR="007534B5" w:rsidRPr="006E43FE" w:rsidRDefault="007534B5" w:rsidP="004006B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>Other than Dwelling Units</w:t>
      </w:r>
      <w:r>
        <w:rPr>
          <w:rFonts w:ascii="Times New Roman" w:hAnsi="Times New Roman"/>
          <w:spacing w:val="-2"/>
          <w:sz w:val="22"/>
          <w:szCs w:val="22"/>
        </w:rPr>
        <w:t>.  All 125-volt through 250-volt receptacles supplied by single-phase branch circuits rated 150 vol</w:t>
      </w:r>
      <w:r w:rsidR="00D93C07">
        <w:rPr>
          <w:rFonts w:ascii="Times New Roman" w:hAnsi="Times New Roman"/>
          <w:spacing w:val="-2"/>
          <w:sz w:val="22"/>
          <w:szCs w:val="22"/>
        </w:rPr>
        <w:t>t</w:t>
      </w:r>
      <w:r>
        <w:rPr>
          <w:rFonts w:ascii="Times New Roman" w:hAnsi="Times New Roman"/>
          <w:spacing w:val="-2"/>
          <w:sz w:val="22"/>
          <w:szCs w:val="22"/>
        </w:rPr>
        <w:t xml:space="preserve">s or less to ground, 50 amperes or less, and all receptacles supplied by three-phrase branch circuits rated 150 volts or less to ground, </w:t>
      </w:r>
      <w:r w:rsidR="0079666A">
        <w:rPr>
          <w:rFonts w:ascii="Times New Roman" w:hAnsi="Times New Roman"/>
          <w:spacing w:val="-2"/>
          <w:sz w:val="22"/>
          <w:szCs w:val="22"/>
        </w:rPr>
        <w:t xml:space="preserve">50 </w:t>
      </w:r>
      <w:r>
        <w:rPr>
          <w:rFonts w:ascii="Times New Roman" w:hAnsi="Times New Roman"/>
          <w:spacing w:val="-2"/>
          <w:sz w:val="22"/>
          <w:szCs w:val="22"/>
        </w:rPr>
        <w:t xml:space="preserve">amperes or less, installed in the following locations shall be provided with GFCI protection: </w:t>
      </w:r>
    </w:p>
    <w:p w14:paraId="198FBDB9" w14:textId="77777777" w:rsidR="006E43FE" w:rsidRDefault="006E43FE" w:rsidP="006E43FE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1885714D" w14:textId="77777777" w:rsidR="006E43FE" w:rsidRPr="009A17F0" w:rsidRDefault="006E43FE" w:rsidP="006E43FE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jc w:val="center"/>
        <w:rPr>
          <w:rFonts w:ascii="Times New Roman" w:hAnsi="Times New Roman"/>
          <w:b/>
          <w:bCs/>
          <w:spacing w:val="-2"/>
          <w:szCs w:val="24"/>
        </w:rPr>
      </w:pPr>
      <w:r w:rsidRPr="009A17F0">
        <w:rPr>
          <w:rFonts w:ascii="Times New Roman" w:hAnsi="Times New Roman"/>
          <w:b/>
          <w:bCs/>
          <w:spacing w:val="-2"/>
          <w:szCs w:val="24"/>
        </w:rPr>
        <w:t>*  * *</w:t>
      </w:r>
    </w:p>
    <w:p w14:paraId="3F11E596" w14:textId="2445FC69" w:rsidR="007534B5" w:rsidRDefault="007534B5" w:rsidP="004006BB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2184349B" w14:textId="4E87DE0F" w:rsidR="007534B5" w:rsidRDefault="007534B5" w:rsidP="00261A19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(2) Kitchens, except for those specific appliances listed in 210.8(D)(8), (9) and (10). </w:t>
      </w:r>
    </w:p>
    <w:p w14:paraId="276DBB54" w14:textId="77777777" w:rsidR="0061739D" w:rsidRPr="001E0559" w:rsidRDefault="0061739D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3600" w:hanging="720"/>
        <w:jc w:val="both"/>
        <w:rPr>
          <w:rFonts w:ascii="Times New Roman" w:hAnsi="Times New Roman"/>
          <w:sz w:val="22"/>
          <w:szCs w:val="22"/>
        </w:rPr>
      </w:pPr>
    </w:p>
    <w:p w14:paraId="393D7A6C" w14:textId="1EEC6C11" w:rsidR="0061739D" w:rsidRPr="001E0559" w:rsidRDefault="00C12675" w:rsidP="00261A19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2880" w:hanging="144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5</w:t>
      </w:r>
      <w:r w:rsidR="0061739D"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61739D" w:rsidRPr="001E0559">
        <w:rPr>
          <w:rFonts w:ascii="Times New Roman" w:hAnsi="Times New Roman"/>
          <w:spacing w:val="-2"/>
          <w:sz w:val="22"/>
          <w:szCs w:val="22"/>
        </w:rPr>
        <w:tab/>
        <w:t>The Board adopts Article 210.8(F) as amended below:</w:t>
      </w:r>
    </w:p>
    <w:p w14:paraId="068E50E3" w14:textId="77777777" w:rsidR="0061739D" w:rsidRPr="001E0559" w:rsidRDefault="0061739D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880" w:hanging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CC1CB2A" w14:textId="3FEAF937" w:rsidR="0061739D" w:rsidRPr="001E0559" w:rsidRDefault="0061739D" w:rsidP="00261A19">
      <w:pPr>
        <w:tabs>
          <w:tab w:val="left" w:pos="720"/>
          <w:tab w:val="left" w:pos="2160"/>
          <w:tab w:val="left" w:pos="2250"/>
          <w:tab w:val="left" w:pos="2880"/>
          <w:tab w:val="left" w:pos="3600"/>
          <w:tab w:val="left" w:pos="4320"/>
        </w:tabs>
        <w:ind w:left="2880" w:hanging="2160"/>
        <w:jc w:val="both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eastAsia="NewBaskervilleStd-Roman" w:hAnsi="Times New Roman"/>
          <w:b/>
          <w:sz w:val="22"/>
          <w:szCs w:val="22"/>
        </w:rPr>
        <w:t>210.8</w:t>
      </w:r>
      <w:r w:rsidR="00E85595">
        <w:rPr>
          <w:rFonts w:ascii="Times New Roman" w:eastAsia="NewBaskervilleStd-Roman" w:hAnsi="Times New Roman"/>
          <w:b/>
          <w:sz w:val="22"/>
          <w:szCs w:val="22"/>
        </w:rPr>
        <w:tab/>
      </w:r>
      <w:r w:rsidRPr="001E0559">
        <w:rPr>
          <w:rFonts w:ascii="Times New Roman" w:eastAsia="NewBaskervilleStd-Roman" w:hAnsi="Times New Roman"/>
          <w:b/>
          <w:sz w:val="22"/>
          <w:szCs w:val="22"/>
        </w:rPr>
        <w:t>Ground-Fault Circuit</w:t>
      </w:r>
      <w:r w:rsidR="000506E0" w:rsidRPr="001E0559">
        <w:rPr>
          <w:rFonts w:ascii="Times New Roman" w:eastAsia="NewBaskervilleStd-Roman" w:hAnsi="Times New Roman"/>
          <w:b/>
          <w:sz w:val="22"/>
          <w:szCs w:val="22"/>
        </w:rPr>
        <w:t>-</w:t>
      </w:r>
      <w:r w:rsidRPr="001E0559">
        <w:rPr>
          <w:rFonts w:ascii="Times New Roman" w:eastAsia="NewBaskervilleStd-Roman" w:hAnsi="Times New Roman"/>
          <w:b/>
          <w:sz w:val="22"/>
          <w:szCs w:val="22"/>
        </w:rPr>
        <w:t>Interrupter Protection for Personnel . . .</w:t>
      </w:r>
    </w:p>
    <w:p w14:paraId="519BD4A9" w14:textId="77777777" w:rsidR="0061739D" w:rsidRPr="001E0559" w:rsidRDefault="0061739D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880" w:hanging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623A3F65" w14:textId="6C6B9ACA" w:rsidR="0061739D" w:rsidRDefault="0061739D" w:rsidP="004006BB">
      <w:pPr>
        <w:shd w:val="clear" w:color="auto" w:fill="FFFFFF" w:themeFill="background1"/>
        <w:ind w:left="2160"/>
        <w:contextualSpacing/>
        <w:jc w:val="both"/>
        <w:rPr>
          <w:rFonts w:ascii="Times New Roman" w:hAnsi="Times New Roman"/>
          <w:sz w:val="22"/>
          <w:szCs w:val="22"/>
        </w:rPr>
      </w:pPr>
      <w:bookmarkStart w:id="0" w:name="_Hlk60737022"/>
      <w:r w:rsidRPr="001E0559">
        <w:rPr>
          <w:rFonts w:ascii="Times New Roman" w:hAnsi="Times New Roman"/>
          <w:b/>
          <w:bCs/>
          <w:sz w:val="22"/>
          <w:szCs w:val="22"/>
        </w:rPr>
        <w:t>(F)</w:t>
      </w:r>
      <w:r w:rsidR="004B042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E0559">
        <w:rPr>
          <w:rFonts w:ascii="Times New Roman" w:hAnsi="Times New Roman"/>
          <w:b/>
          <w:bCs/>
          <w:sz w:val="22"/>
          <w:szCs w:val="22"/>
        </w:rPr>
        <w:t>Outdoor Outlets.</w:t>
      </w:r>
      <w:r w:rsidR="0048595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666A">
        <w:rPr>
          <w:rFonts w:ascii="Times New Roman" w:hAnsi="Times New Roman"/>
          <w:sz w:val="22"/>
          <w:szCs w:val="22"/>
        </w:rPr>
        <w:t>For dwellings, a</w:t>
      </w:r>
      <w:r w:rsidRPr="001E0559">
        <w:rPr>
          <w:rFonts w:ascii="Times New Roman" w:hAnsi="Times New Roman"/>
          <w:sz w:val="22"/>
          <w:szCs w:val="22"/>
        </w:rPr>
        <w:t>ll outdoor outlets</w:t>
      </w:r>
      <w:r w:rsidR="0079666A">
        <w:rPr>
          <w:rFonts w:ascii="Times New Roman" w:hAnsi="Times New Roman"/>
          <w:sz w:val="22"/>
          <w:szCs w:val="22"/>
        </w:rPr>
        <w:t>,</w:t>
      </w:r>
      <w:r w:rsidRPr="001E0559">
        <w:rPr>
          <w:rFonts w:ascii="Times New Roman" w:hAnsi="Times New Roman"/>
          <w:sz w:val="22"/>
          <w:szCs w:val="22"/>
        </w:rPr>
        <w:t xml:space="preserve"> other than those covered in </w:t>
      </w:r>
      <w:hyperlink r:id="rId10" w:anchor="ID000700000439" w:history="1">
        <w:r w:rsidRPr="001E0559">
          <w:rPr>
            <w:rFonts w:ascii="Times New Roman" w:hAnsi="Times New Roman"/>
            <w:sz w:val="22"/>
            <w:szCs w:val="22"/>
          </w:rPr>
          <w:t>210.8(A)</w:t>
        </w:r>
      </w:hyperlink>
      <w:r w:rsidRPr="001E0559">
        <w:rPr>
          <w:rFonts w:ascii="Times New Roman" w:hAnsi="Times New Roman"/>
          <w:sz w:val="22"/>
          <w:szCs w:val="22"/>
        </w:rPr>
        <w:t>, Exception</w:t>
      </w:r>
      <w:r w:rsidR="004006BB">
        <w:rPr>
          <w:rFonts w:ascii="Times New Roman" w:hAnsi="Times New Roman"/>
          <w:sz w:val="22"/>
          <w:szCs w:val="22"/>
        </w:rPr>
        <w:t xml:space="preserve"> </w:t>
      </w:r>
      <w:r w:rsidR="0079666A">
        <w:rPr>
          <w:rFonts w:ascii="Times New Roman" w:hAnsi="Times New Roman"/>
          <w:sz w:val="22"/>
          <w:szCs w:val="22"/>
        </w:rPr>
        <w:t>No. 1</w:t>
      </w:r>
      <w:r w:rsidRPr="001E0559">
        <w:rPr>
          <w:rFonts w:ascii="Times New Roman" w:hAnsi="Times New Roman"/>
          <w:sz w:val="22"/>
          <w:szCs w:val="22"/>
        </w:rPr>
        <w:t xml:space="preserve">, </w:t>
      </w:r>
      <w:r w:rsidR="0079666A">
        <w:rPr>
          <w:rFonts w:ascii="Times New Roman" w:hAnsi="Times New Roman"/>
          <w:sz w:val="22"/>
          <w:szCs w:val="22"/>
        </w:rPr>
        <w:t xml:space="preserve">including outlets installed in the following locations, and </w:t>
      </w:r>
      <w:r w:rsidRPr="001E0559">
        <w:rPr>
          <w:rFonts w:ascii="Times New Roman" w:hAnsi="Times New Roman"/>
          <w:sz w:val="22"/>
          <w:szCs w:val="22"/>
        </w:rPr>
        <w:t xml:space="preserve"> supplied by single-phase branch circuits rated 150 volts </w:t>
      </w:r>
      <w:r w:rsidR="0079666A">
        <w:rPr>
          <w:rFonts w:ascii="Times New Roman" w:hAnsi="Times New Roman"/>
          <w:sz w:val="22"/>
          <w:szCs w:val="22"/>
        </w:rPr>
        <w:t xml:space="preserve">or less </w:t>
      </w:r>
      <w:r w:rsidRPr="001E0559">
        <w:rPr>
          <w:rFonts w:ascii="Times New Roman" w:hAnsi="Times New Roman"/>
          <w:sz w:val="22"/>
          <w:szCs w:val="22"/>
        </w:rPr>
        <w:t xml:space="preserve">to ground, 50 amperes or less, shall </w:t>
      </w:r>
      <w:r w:rsidR="0079666A">
        <w:rPr>
          <w:rFonts w:ascii="Times New Roman" w:hAnsi="Times New Roman"/>
          <w:sz w:val="22"/>
          <w:szCs w:val="22"/>
        </w:rPr>
        <w:t>be provided with GFCI protection</w:t>
      </w:r>
      <w:r w:rsidRPr="001E0559">
        <w:rPr>
          <w:rFonts w:ascii="Times New Roman" w:hAnsi="Times New Roman"/>
          <w:sz w:val="22"/>
          <w:szCs w:val="22"/>
        </w:rPr>
        <w:t>.</w:t>
      </w:r>
    </w:p>
    <w:p w14:paraId="72F474D5" w14:textId="58980F1D" w:rsidR="0079666A" w:rsidRDefault="0079666A" w:rsidP="004006BB">
      <w:pPr>
        <w:shd w:val="clear" w:color="auto" w:fill="FFFFFF" w:themeFill="background1"/>
        <w:ind w:left="2160"/>
        <w:contextualSpacing/>
        <w:jc w:val="both"/>
        <w:rPr>
          <w:rFonts w:ascii="Times New Roman" w:hAnsi="Times New Roman"/>
          <w:sz w:val="22"/>
          <w:szCs w:val="22"/>
        </w:rPr>
      </w:pPr>
    </w:p>
    <w:p w14:paraId="5C88A260" w14:textId="297B2DD3" w:rsidR="0079666A" w:rsidRDefault="0079666A" w:rsidP="004006BB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Garages that have floors located at or below grade level </w:t>
      </w:r>
    </w:p>
    <w:p w14:paraId="7599AE0C" w14:textId="4F42521B" w:rsidR="0079666A" w:rsidRDefault="0079666A" w:rsidP="004006BB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Accessory buildings </w:t>
      </w:r>
    </w:p>
    <w:p w14:paraId="3E54C1C8" w14:textId="28239CB3" w:rsidR="0079666A" w:rsidRDefault="0079666A" w:rsidP="004006BB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Boathouses</w:t>
      </w:r>
    </w:p>
    <w:p w14:paraId="793F357F" w14:textId="033560CF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sz w:val="22"/>
          <w:szCs w:val="22"/>
        </w:rPr>
      </w:pPr>
    </w:p>
    <w:p w14:paraId="31CF84AC" w14:textId="07AB2C70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If equipment supplied by an outlet covered under the </w:t>
      </w:r>
      <w:r w:rsidR="00E673C7">
        <w:rPr>
          <w:rFonts w:ascii="Times New Roman" w:hAnsi="Times New Roman"/>
          <w:sz w:val="22"/>
          <w:szCs w:val="22"/>
        </w:rPr>
        <w:t>requirements</w:t>
      </w:r>
      <w:r>
        <w:rPr>
          <w:rFonts w:ascii="Times New Roman" w:hAnsi="Times New Roman"/>
          <w:sz w:val="22"/>
          <w:szCs w:val="22"/>
        </w:rPr>
        <w:t xml:space="preserve"> of this section is replaced, the outlet shall be supplied with GFCI protection. </w:t>
      </w:r>
    </w:p>
    <w:p w14:paraId="1C565C3D" w14:textId="72F31DBB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sz w:val="22"/>
          <w:szCs w:val="22"/>
        </w:rPr>
      </w:pPr>
    </w:p>
    <w:p w14:paraId="73C87129" w14:textId="73B7624D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Exception No. 1:  GFCI protection shall not be required on lighting </w:t>
      </w:r>
      <w:r w:rsidR="00E673C7">
        <w:rPr>
          <w:rFonts w:ascii="Times New Roman" w:hAnsi="Times New Roman"/>
          <w:i/>
          <w:iCs/>
          <w:sz w:val="22"/>
          <w:szCs w:val="22"/>
        </w:rPr>
        <w:t>outlets</w:t>
      </w:r>
      <w:r>
        <w:rPr>
          <w:rFonts w:ascii="Times New Roman" w:hAnsi="Times New Roman"/>
          <w:i/>
          <w:iCs/>
          <w:sz w:val="22"/>
          <w:szCs w:val="22"/>
        </w:rPr>
        <w:t xml:space="preserve"> other than those covered in 210.8(C). </w:t>
      </w:r>
    </w:p>
    <w:p w14:paraId="5480D3CC" w14:textId="1D1C2DF4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D1BB072" w14:textId="30FB3504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Exception No. 2: GFCI protection shall not be required for listed HVAC equipment.  This exception shall expire September 1, 2026.</w:t>
      </w:r>
    </w:p>
    <w:p w14:paraId="4E03ADAC" w14:textId="365EA414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67C96370" w14:textId="39709D51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Exception No. 3:  GFCI protection shall not be required for sewer pumps.</w:t>
      </w:r>
    </w:p>
    <w:p w14:paraId="06DD3D51" w14:textId="72502CEB" w:rsid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8D83659" w14:textId="5A30E1B9" w:rsidR="0079666A" w:rsidRPr="0079666A" w:rsidRDefault="0079666A" w:rsidP="004006BB">
      <w:pPr>
        <w:shd w:val="clear" w:color="auto" w:fill="FFFFFF" w:themeFill="background1"/>
        <w:ind w:left="21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Exception No. 4:  GFCI protection shall not be required for water pumps.</w:t>
      </w:r>
    </w:p>
    <w:p w14:paraId="6F9EE406" w14:textId="77777777" w:rsidR="0061739D" w:rsidRPr="001E0559" w:rsidRDefault="0061739D" w:rsidP="004006BB">
      <w:pPr>
        <w:shd w:val="clear" w:color="auto" w:fill="FFFFFF" w:themeFill="background1"/>
        <w:ind w:left="1440"/>
        <w:jc w:val="both"/>
        <w:rPr>
          <w:rFonts w:ascii="Times New Roman" w:hAnsi="Times New Roman"/>
          <w:i/>
          <w:iCs/>
          <w:sz w:val="22"/>
          <w:szCs w:val="22"/>
        </w:rPr>
      </w:pPr>
    </w:p>
    <w:bookmarkEnd w:id="0"/>
    <w:p w14:paraId="4ECD3772" w14:textId="4F8B03C5" w:rsidR="007859C0" w:rsidRPr="001E0559" w:rsidRDefault="00C12675" w:rsidP="00A47782">
      <w:pPr>
        <w:tabs>
          <w:tab w:val="left" w:pos="720"/>
          <w:tab w:val="left" w:pos="1440"/>
          <w:tab w:val="left" w:pos="2880"/>
          <w:tab w:val="left" w:pos="3240"/>
          <w:tab w:val="left" w:pos="4320"/>
        </w:tabs>
        <w:ind w:left="2160" w:hanging="72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6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ab/>
        <w:t>The Board adopts Article 230.2(E) as amended below:</w:t>
      </w:r>
    </w:p>
    <w:p w14:paraId="31D4F904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3600" w:hanging="288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5261D7CF" w14:textId="7690B890" w:rsidR="007859C0" w:rsidRPr="001E0559" w:rsidRDefault="007859C0" w:rsidP="001F182F"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3600" w:hanging="2880"/>
        <w:jc w:val="both"/>
        <w:rPr>
          <w:rFonts w:ascii="Times New Roman" w:hAnsi="Times New Roman"/>
          <w:b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>230.2</w:t>
      </w:r>
      <w:r w:rsidR="00D2697F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 xml:space="preserve">Number of Services . . . </w:t>
      </w:r>
    </w:p>
    <w:p w14:paraId="0EA0F35F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3600" w:hanging="2880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4FA54ED0" w14:textId="3125EBE6" w:rsidR="007859C0" w:rsidRPr="001E0559" w:rsidRDefault="007859C0" w:rsidP="004B042A">
      <w:pPr>
        <w:tabs>
          <w:tab w:val="left" w:pos="720"/>
          <w:tab w:val="left" w:pos="1440"/>
          <w:tab w:val="left" w:pos="2160"/>
          <w:tab w:val="left" w:pos="4320"/>
        </w:tabs>
        <w:ind w:left="2250" w:right="-90" w:hanging="2160"/>
        <w:jc w:val="both"/>
        <w:rPr>
          <w:rFonts w:ascii="Times New Roman" w:hAnsi="Times New Roman"/>
          <w:bCs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ab/>
      </w:r>
      <w:bookmarkStart w:id="1" w:name="_Hlk60737807"/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>(E)</w:t>
      </w:r>
      <w:r w:rsidR="004B042A">
        <w:rPr>
          <w:rFonts w:ascii="Times New Roman" w:hAnsi="Times New Roman"/>
          <w:b/>
          <w:bCs/>
          <w:spacing w:val="-2"/>
          <w:sz w:val="22"/>
          <w:szCs w:val="22"/>
        </w:rPr>
        <w:t xml:space="preserve"> </w:t>
      </w: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>Identification</w:t>
      </w:r>
      <w:r w:rsidRPr="001E0559">
        <w:rPr>
          <w:rFonts w:ascii="Times New Roman" w:hAnsi="Times New Roman"/>
          <w:bCs/>
          <w:spacing w:val="-2"/>
          <w:sz w:val="22"/>
          <w:szCs w:val="22"/>
        </w:rPr>
        <w:t xml:space="preserve">. </w:t>
      </w:r>
      <w:r w:rsidRPr="001E0559">
        <w:rPr>
          <w:rFonts w:ascii="Times New Roman" w:hAnsi="Times New Roman"/>
          <w:spacing w:val="-2"/>
          <w:sz w:val="22"/>
          <w:szCs w:val="22"/>
        </w:rPr>
        <w:t>Where a building or structure is supplied by more than one service, or any combination of branch</w:t>
      </w:r>
      <w:r w:rsidRPr="001E0559">
        <w:rPr>
          <w:rFonts w:ascii="Times New Roman" w:hAnsi="Times New Roman"/>
          <w:bCs/>
          <w:spacing w:val="-2"/>
          <w:sz w:val="22"/>
          <w:szCs w:val="22"/>
        </w:rPr>
        <w:t xml:space="preserve"> </w:t>
      </w:r>
      <w:r w:rsidRPr="001E0559">
        <w:rPr>
          <w:rFonts w:ascii="Times New Roman" w:hAnsi="Times New Roman"/>
          <w:spacing w:val="-2"/>
          <w:sz w:val="22"/>
          <w:szCs w:val="22"/>
        </w:rPr>
        <w:t>circuits, feeders, and services, a permanent plaque or directory shall be installed at each service disconnect location and at each outside electrical meter location denoting all other services, feeders, and branch circuits supplying that</w:t>
      </w:r>
      <w:r w:rsidRPr="001E0559">
        <w:rPr>
          <w:rFonts w:ascii="Times New Roman" w:hAnsi="Times New Roman"/>
          <w:bCs/>
          <w:spacing w:val="-2"/>
          <w:sz w:val="22"/>
          <w:szCs w:val="22"/>
        </w:rPr>
        <w:t xml:space="preserve"> </w:t>
      </w:r>
      <w:r w:rsidRPr="001E0559">
        <w:rPr>
          <w:rFonts w:ascii="Times New Roman" w:hAnsi="Times New Roman"/>
          <w:spacing w:val="-2"/>
          <w:sz w:val="22"/>
          <w:szCs w:val="22"/>
        </w:rPr>
        <w:t>building or structure and the area served by each. See 225.37.</w:t>
      </w:r>
    </w:p>
    <w:bookmarkEnd w:id="1"/>
    <w:p w14:paraId="13CD7076" w14:textId="77777777" w:rsidR="007859C0" w:rsidRPr="001E0559" w:rsidRDefault="007859C0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ascii="Times New Roman" w:hAnsi="Times New Roman"/>
          <w:spacing w:val="-2"/>
          <w:sz w:val="22"/>
          <w:szCs w:val="22"/>
        </w:rPr>
      </w:pPr>
    </w:p>
    <w:p w14:paraId="4DAD9AAA" w14:textId="69F49DDD" w:rsidR="00D218BB" w:rsidRPr="00C12675" w:rsidRDefault="00C12675" w:rsidP="00D65407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1530" w:hanging="90"/>
        <w:rPr>
          <w:b/>
          <w:bCs/>
        </w:rPr>
      </w:pPr>
      <w:r w:rsidRPr="00C12675">
        <w:rPr>
          <w:rFonts w:ascii="Times New Roman" w:hAnsi="Times New Roman"/>
        </w:rPr>
        <w:t>T</w:t>
      </w:r>
      <w:r w:rsidR="00D218BB" w:rsidRPr="00C12675">
        <w:rPr>
          <w:rFonts w:ascii="Times New Roman" w:hAnsi="Times New Roman"/>
        </w:rPr>
        <w:t>he Board adopts Article 230.85(B) as amended below:</w:t>
      </w:r>
      <w:r w:rsidR="00D218BB" w:rsidRPr="00CA65B6">
        <w:t xml:space="preserve"> </w:t>
      </w:r>
    </w:p>
    <w:p w14:paraId="16B9F2DB" w14:textId="7BE32E4C" w:rsidR="00D218BB" w:rsidRDefault="00D218BB" w:rsidP="00D218BB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pacing w:val="-2"/>
          <w:sz w:val="22"/>
          <w:szCs w:val="22"/>
        </w:rPr>
      </w:pPr>
    </w:p>
    <w:p w14:paraId="55741ADC" w14:textId="3C3CA42D" w:rsidR="00D218BB" w:rsidRPr="004006BB" w:rsidRDefault="00D65407" w:rsidP="00D65407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50"/>
        <w:rPr>
          <w:rFonts w:ascii="Times New Roman" w:hAnsi="Times New Roman"/>
          <w:b/>
          <w:bCs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(B) </w:t>
      </w:r>
      <w:r w:rsidR="00D218BB" w:rsidRPr="00D218BB">
        <w:rPr>
          <w:rFonts w:ascii="Times New Roman" w:hAnsi="Times New Roman"/>
          <w:b/>
          <w:bCs/>
          <w:spacing w:val="-2"/>
          <w:sz w:val="22"/>
          <w:szCs w:val="22"/>
        </w:rPr>
        <w:t>Disconnects</w:t>
      </w:r>
      <w:r w:rsidR="00D218BB" w:rsidRPr="00D218BB">
        <w:rPr>
          <w:rFonts w:ascii="Times New Roman" w:hAnsi="Times New Roman"/>
          <w:spacing w:val="-2"/>
          <w:sz w:val="22"/>
          <w:szCs w:val="22"/>
        </w:rPr>
        <w:t xml:space="preserve">.  Each disconnect shall be a service disconnect.  </w:t>
      </w:r>
    </w:p>
    <w:p w14:paraId="71418596" w14:textId="69DD97EA" w:rsidR="007859C0" w:rsidRPr="001E0559" w:rsidRDefault="00C12675" w:rsidP="005E1AE2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lastRenderedPageBreak/>
        <w:t>8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ab/>
        <w:t>The Board adopts Article 334.10(3) as amended below:</w:t>
      </w:r>
    </w:p>
    <w:p w14:paraId="79AEC579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3600" w:hanging="288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40DAA812" w14:textId="754E6A24" w:rsidR="007859C0" w:rsidRPr="001E0559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880"/>
        <w:jc w:val="both"/>
        <w:rPr>
          <w:rFonts w:ascii="Times New Roman" w:hAnsi="Times New Roman"/>
          <w:b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="005E1AE2">
        <w:rPr>
          <w:rFonts w:ascii="Times New Roman" w:hAnsi="Times New Roman"/>
          <w:spacing w:val="-2"/>
          <w:sz w:val="22"/>
          <w:szCs w:val="22"/>
        </w:rPr>
        <w:tab/>
      </w:r>
      <w:r w:rsidR="005E1AE2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>334.10</w:t>
      </w:r>
      <w:r w:rsidR="00D2697F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 xml:space="preserve">Uses Permitted. . . </w:t>
      </w:r>
    </w:p>
    <w:p w14:paraId="1F6E90C9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3600" w:hanging="2880"/>
        <w:jc w:val="both"/>
        <w:rPr>
          <w:rFonts w:ascii="Times New Roman" w:hAnsi="Times New Roman"/>
          <w:b/>
          <w:spacing w:val="-2"/>
          <w:sz w:val="22"/>
          <w:szCs w:val="22"/>
        </w:rPr>
      </w:pPr>
    </w:p>
    <w:p w14:paraId="6FB5251D" w14:textId="140EF162" w:rsidR="007859C0" w:rsidRPr="001E0559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2160"/>
        <w:jc w:val="both"/>
        <w:rPr>
          <w:rFonts w:ascii="Times New Roman" w:hAnsi="Times New Roman"/>
          <w:color w:val="FF0000"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="005E1AE2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spacing w:val="-2"/>
          <w:sz w:val="22"/>
          <w:szCs w:val="22"/>
        </w:rPr>
        <w:t>(3)</w:t>
      </w:r>
      <w:r w:rsidR="005E1AE2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1E0559">
        <w:rPr>
          <w:rFonts w:ascii="Times New Roman" w:hAnsi="Times New Roman"/>
          <w:spacing w:val="-2"/>
          <w:sz w:val="22"/>
          <w:szCs w:val="22"/>
        </w:rPr>
        <w:t>Other structures permitted to be of Types III, IV, and V construction.</w:t>
      </w:r>
      <w:r w:rsidR="00485956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1E0559">
        <w:rPr>
          <w:rFonts w:ascii="Times New Roman" w:hAnsi="Times New Roman"/>
          <w:spacing w:val="-2"/>
          <w:sz w:val="22"/>
          <w:szCs w:val="22"/>
        </w:rPr>
        <w:t>In buildings or structures with interior finished walls and/or ceilings, cables shall be concealed within walls, floors, or ceilings that provide a thermal barrier of material that has at least a 15-minute finish rating as identified in listings of fire</w:t>
      </w:r>
      <w:r w:rsidRPr="001E0559">
        <w:rPr>
          <w:rFonts w:ascii="Times New Roman" w:hAnsi="Times New Roman"/>
          <w:strike/>
          <w:spacing w:val="-2"/>
          <w:sz w:val="22"/>
          <w:szCs w:val="22"/>
        </w:rPr>
        <w:t xml:space="preserve"> 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rated assemblies. </w:t>
      </w:r>
    </w:p>
    <w:p w14:paraId="135DCF49" w14:textId="77777777" w:rsidR="007859C0" w:rsidRPr="001E0559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88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0E5DFD7" w14:textId="4F9D8D74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b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="005E1AE2">
        <w:rPr>
          <w:rFonts w:ascii="Times New Roman" w:hAnsi="Times New Roman"/>
          <w:spacing w:val="-2"/>
          <w:sz w:val="22"/>
          <w:szCs w:val="22"/>
        </w:rPr>
        <w:tab/>
      </w:r>
      <w:r w:rsidR="00C12675">
        <w:rPr>
          <w:rFonts w:ascii="Times New Roman" w:hAnsi="Times New Roman"/>
          <w:spacing w:val="-2"/>
          <w:sz w:val="22"/>
          <w:szCs w:val="22"/>
        </w:rPr>
        <w:t>9</w:t>
      </w:r>
      <w:r w:rsidRPr="001E0559">
        <w:rPr>
          <w:rFonts w:ascii="Times New Roman" w:hAnsi="Times New Roman"/>
          <w:spacing w:val="-2"/>
          <w:sz w:val="22"/>
          <w:szCs w:val="22"/>
        </w:rPr>
        <w:t>.</w:t>
      </w:r>
      <w:r w:rsidRPr="001E0559">
        <w:rPr>
          <w:rFonts w:ascii="Times New Roman" w:hAnsi="Times New Roman"/>
          <w:spacing w:val="-2"/>
          <w:sz w:val="22"/>
          <w:szCs w:val="22"/>
        </w:rPr>
        <w:tab/>
        <w:t>The Board does not adopt Article 334.12(A)(2).</w:t>
      </w:r>
    </w:p>
    <w:p w14:paraId="5DC8F70C" w14:textId="77777777" w:rsidR="0061739D" w:rsidRPr="001E0559" w:rsidRDefault="0061739D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3600" w:hanging="720"/>
        <w:jc w:val="both"/>
        <w:rPr>
          <w:rFonts w:ascii="Times New Roman" w:hAnsi="Times New Roman"/>
          <w:strike/>
          <w:sz w:val="22"/>
          <w:szCs w:val="22"/>
        </w:rPr>
      </w:pPr>
    </w:p>
    <w:p w14:paraId="01BA6D31" w14:textId="6A48708E" w:rsidR="007859C0" w:rsidRPr="001E0559" w:rsidRDefault="005E1AE2" w:rsidP="004006BB">
      <w:pPr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72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r w:rsidR="00C12675">
        <w:rPr>
          <w:rFonts w:ascii="Times New Roman" w:hAnsi="Times New Roman"/>
          <w:spacing w:val="-2"/>
          <w:sz w:val="22"/>
          <w:szCs w:val="22"/>
        </w:rPr>
        <w:t>10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ab/>
        <w:t>The Board adopts Article 338.12(B)(1) and (2) as amended below:</w:t>
      </w:r>
    </w:p>
    <w:p w14:paraId="67FB9E81" w14:textId="77777777" w:rsidR="007859C0" w:rsidRPr="001E0559" w:rsidRDefault="007859C0" w:rsidP="004006BB">
      <w:pPr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3AFCB36D" w14:textId="0B204D67" w:rsidR="007859C0" w:rsidRPr="001E0559" w:rsidRDefault="005E1AE2" w:rsidP="004006BB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ab/>
      </w:r>
      <w:r>
        <w:rPr>
          <w:rFonts w:ascii="Times New Roman" w:hAnsi="Times New Roman"/>
          <w:b/>
          <w:spacing w:val="-2"/>
          <w:sz w:val="22"/>
          <w:szCs w:val="22"/>
        </w:rPr>
        <w:tab/>
      </w:r>
      <w:r w:rsidR="007859C0" w:rsidRPr="001E0559">
        <w:rPr>
          <w:rFonts w:ascii="Times New Roman" w:hAnsi="Times New Roman"/>
          <w:b/>
          <w:spacing w:val="-2"/>
          <w:sz w:val="22"/>
          <w:szCs w:val="22"/>
        </w:rPr>
        <w:t>338.12</w:t>
      </w:r>
      <w:r w:rsidR="007859C0" w:rsidRPr="001E0559">
        <w:rPr>
          <w:rFonts w:ascii="Times New Roman" w:hAnsi="Times New Roman"/>
          <w:b/>
          <w:spacing w:val="-2"/>
          <w:sz w:val="22"/>
          <w:szCs w:val="22"/>
        </w:rPr>
        <w:tab/>
        <w:t xml:space="preserve">Uses Not Permitted. . . </w:t>
      </w:r>
    </w:p>
    <w:p w14:paraId="0B7C310C" w14:textId="77777777" w:rsidR="007859C0" w:rsidRPr="001E0559" w:rsidRDefault="007859C0" w:rsidP="004006BB">
      <w:pPr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b/>
          <w:spacing w:val="-2"/>
          <w:sz w:val="22"/>
          <w:szCs w:val="22"/>
        </w:rPr>
      </w:pPr>
    </w:p>
    <w:p w14:paraId="367241AC" w14:textId="714620B0" w:rsidR="007859C0" w:rsidRPr="001E0559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1440"/>
        <w:jc w:val="both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="005E1AE2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>(B)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 xml:space="preserve">Underground Service-Entrance Cable. </w:t>
      </w:r>
      <w:r w:rsidR="00AE265C">
        <w:rPr>
          <w:rFonts w:ascii="Times New Roman" w:hAnsi="Times New Roman"/>
          <w:bCs/>
          <w:spacing w:val="-2"/>
          <w:sz w:val="22"/>
          <w:szCs w:val="22"/>
        </w:rPr>
        <w:t xml:space="preserve">Type 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USE </w:t>
      </w:r>
      <w:r w:rsidR="00796DCA">
        <w:rPr>
          <w:rFonts w:ascii="Times New Roman" w:hAnsi="Times New Roman"/>
          <w:spacing w:val="-2"/>
          <w:sz w:val="22"/>
          <w:szCs w:val="22"/>
        </w:rPr>
        <w:t xml:space="preserve">cable </w:t>
      </w:r>
      <w:r w:rsidRPr="001E0559">
        <w:rPr>
          <w:rFonts w:ascii="Times New Roman" w:hAnsi="Times New Roman"/>
          <w:spacing w:val="-2"/>
          <w:sz w:val="22"/>
          <w:szCs w:val="22"/>
        </w:rPr>
        <w:t>shall not be used under the following conditions or in the following locations:</w:t>
      </w:r>
    </w:p>
    <w:p w14:paraId="584E32AF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b/>
          <w:spacing w:val="-2"/>
          <w:sz w:val="22"/>
          <w:szCs w:val="22"/>
        </w:rPr>
      </w:pPr>
    </w:p>
    <w:p w14:paraId="4AFB3D30" w14:textId="11B5E766" w:rsidR="007859C0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spacing w:val="-2"/>
          <w:sz w:val="22"/>
          <w:szCs w:val="22"/>
        </w:rPr>
        <w:tab/>
        <w:t>(1)</w:t>
      </w:r>
      <w:r w:rsidRPr="001E0559">
        <w:rPr>
          <w:rFonts w:ascii="Times New Roman" w:hAnsi="Times New Roman"/>
          <w:spacing w:val="-2"/>
          <w:sz w:val="22"/>
          <w:szCs w:val="22"/>
        </w:rPr>
        <w:tab/>
        <w:t xml:space="preserve">For interior wiring </w:t>
      </w:r>
    </w:p>
    <w:p w14:paraId="23673D92" w14:textId="77777777" w:rsidR="007859C0" w:rsidRPr="001E0559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4AB1C96E" w14:textId="0A7B01C3" w:rsidR="007859C0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spacing w:val="-2"/>
          <w:sz w:val="22"/>
          <w:szCs w:val="22"/>
        </w:rPr>
        <w:tab/>
        <w:t>(2)</w:t>
      </w:r>
      <w:r w:rsidRPr="001E0559">
        <w:rPr>
          <w:rFonts w:ascii="Times New Roman" w:hAnsi="Times New Roman"/>
          <w:spacing w:val="-2"/>
          <w:sz w:val="22"/>
          <w:szCs w:val="22"/>
        </w:rPr>
        <w:tab/>
        <w:t>For aboveground installations except where USE cable emerges from the ground and is terminated in an enclosure at a</w:t>
      </w:r>
      <w:r w:rsidR="00AE265C">
        <w:rPr>
          <w:rFonts w:ascii="Times New Roman" w:hAnsi="Times New Roman"/>
          <w:spacing w:val="-2"/>
          <w:sz w:val="22"/>
          <w:szCs w:val="22"/>
        </w:rPr>
        <w:t>n outdoor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 location and the cable is protected in accordance with 300.5(D)</w:t>
      </w:r>
    </w:p>
    <w:p w14:paraId="7A1AAD1B" w14:textId="77777777" w:rsidR="004006BB" w:rsidRDefault="004006BB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0A061F19" w14:textId="7F8FDE1E" w:rsidR="00AE265C" w:rsidRDefault="00AE265C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r>
        <w:rPr>
          <w:rFonts w:ascii="Times New Roman" w:hAnsi="Times New Roman"/>
          <w:spacing w:val="-2"/>
          <w:sz w:val="22"/>
          <w:szCs w:val="22"/>
        </w:rPr>
        <w:tab/>
        <w:t xml:space="preserve">(3) </w:t>
      </w:r>
      <w:r>
        <w:rPr>
          <w:rFonts w:ascii="Times New Roman" w:hAnsi="Times New Roman"/>
          <w:spacing w:val="-2"/>
          <w:sz w:val="22"/>
          <w:szCs w:val="22"/>
        </w:rPr>
        <w:tab/>
        <w:t xml:space="preserve">As aerial cable unless it is a multiconductor cable identified for use aboveground and installed as messenger-supported wiring in accordance with 225.10 and </w:t>
      </w:r>
      <w:r w:rsidR="00377B70">
        <w:rPr>
          <w:rFonts w:ascii="Times New Roman" w:hAnsi="Times New Roman"/>
          <w:spacing w:val="-2"/>
          <w:sz w:val="22"/>
          <w:szCs w:val="22"/>
        </w:rPr>
        <w:t>P</w:t>
      </w:r>
      <w:r>
        <w:rPr>
          <w:rFonts w:ascii="Times New Roman" w:hAnsi="Times New Roman"/>
          <w:spacing w:val="-2"/>
          <w:sz w:val="22"/>
          <w:szCs w:val="22"/>
        </w:rPr>
        <w:t>art II of Article 396</w:t>
      </w:r>
    </w:p>
    <w:p w14:paraId="3B75E6F7" w14:textId="1E5234E8" w:rsidR="00AE265C" w:rsidRDefault="00AE265C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52C46B44" w14:textId="3CADF752" w:rsidR="00AE265C" w:rsidRPr="00AE265C" w:rsidRDefault="00AE265C" w:rsidP="005E1AE2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4320"/>
        </w:tabs>
        <w:ind w:left="3960" w:hanging="2520"/>
        <w:jc w:val="both"/>
        <w:rPr>
          <w:rFonts w:ascii="Times New Roman" w:hAnsi="Times New Roman"/>
          <w:strike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r>
        <w:rPr>
          <w:rFonts w:ascii="Times New Roman" w:hAnsi="Times New Roman"/>
          <w:spacing w:val="-2"/>
          <w:sz w:val="22"/>
          <w:szCs w:val="22"/>
        </w:rPr>
        <w:tab/>
      </w:r>
      <w:r>
        <w:rPr>
          <w:rFonts w:ascii="Times New Roman" w:hAnsi="Times New Roman"/>
          <w:b/>
          <w:bCs/>
          <w:spacing w:val="-2"/>
          <w:sz w:val="22"/>
          <w:szCs w:val="22"/>
        </w:rPr>
        <w:t>Exception</w:t>
      </w:r>
      <w:r>
        <w:rPr>
          <w:rFonts w:ascii="Times New Roman" w:hAnsi="Times New Roman"/>
          <w:spacing w:val="-2"/>
          <w:sz w:val="22"/>
          <w:szCs w:val="22"/>
        </w:rPr>
        <w:t xml:space="preserve">: </w:t>
      </w:r>
      <w:r w:rsidR="003F0DA5">
        <w:rPr>
          <w:rFonts w:ascii="Times New Roman" w:hAnsi="Times New Roman"/>
          <w:spacing w:val="-2"/>
          <w:sz w:val="22"/>
          <w:szCs w:val="22"/>
        </w:rPr>
        <w:t xml:space="preserve">This provision does not apply to </w:t>
      </w:r>
      <w:r>
        <w:rPr>
          <w:rFonts w:ascii="Times New Roman" w:hAnsi="Times New Roman"/>
          <w:spacing w:val="-2"/>
          <w:sz w:val="22"/>
          <w:szCs w:val="22"/>
        </w:rPr>
        <w:t>USE</w:t>
      </w:r>
      <w:r w:rsidR="003F0DA5">
        <w:rPr>
          <w:rFonts w:ascii="Times New Roman" w:hAnsi="Times New Roman"/>
          <w:spacing w:val="-2"/>
          <w:sz w:val="22"/>
          <w:szCs w:val="22"/>
        </w:rPr>
        <w:t xml:space="preserve"> cab</w:t>
      </w:r>
      <w:r w:rsidR="001C1874">
        <w:rPr>
          <w:rFonts w:ascii="Times New Roman" w:hAnsi="Times New Roman"/>
          <w:spacing w:val="-2"/>
          <w:sz w:val="22"/>
          <w:szCs w:val="22"/>
        </w:rPr>
        <w:t>l</w:t>
      </w:r>
      <w:r w:rsidR="003F0DA5">
        <w:rPr>
          <w:rFonts w:ascii="Times New Roman" w:hAnsi="Times New Roman"/>
          <w:spacing w:val="-2"/>
          <w:sz w:val="22"/>
          <w:szCs w:val="22"/>
        </w:rPr>
        <w:t>e that is dual</w:t>
      </w:r>
      <w:r w:rsidR="001C1874">
        <w:rPr>
          <w:rFonts w:ascii="Times New Roman" w:hAnsi="Times New Roman"/>
          <w:spacing w:val="-2"/>
          <w:sz w:val="22"/>
          <w:szCs w:val="22"/>
        </w:rPr>
        <w:t>-</w:t>
      </w:r>
      <w:r w:rsidR="003F0DA5">
        <w:rPr>
          <w:rFonts w:ascii="Times New Roman" w:hAnsi="Times New Roman"/>
          <w:spacing w:val="-2"/>
          <w:sz w:val="22"/>
          <w:szCs w:val="22"/>
        </w:rPr>
        <w:t>rated for interior wiring</w:t>
      </w:r>
      <w:r>
        <w:rPr>
          <w:rFonts w:ascii="Times New Roman" w:hAnsi="Times New Roman"/>
          <w:spacing w:val="-2"/>
          <w:sz w:val="22"/>
          <w:szCs w:val="22"/>
        </w:rPr>
        <w:t>.</w:t>
      </w:r>
    </w:p>
    <w:p w14:paraId="21894E10" w14:textId="77777777" w:rsidR="007859C0" w:rsidRPr="001E0559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trike/>
          <w:spacing w:val="-2"/>
          <w:sz w:val="22"/>
          <w:szCs w:val="22"/>
        </w:rPr>
      </w:pPr>
    </w:p>
    <w:p w14:paraId="2B849222" w14:textId="2E258725" w:rsidR="007859C0" w:rsidRPr="001E0559" w:rsidRDefault="005E1AE2" w:rsidP="004006BB">
      <w:pPr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72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r w:rsidR="00C12675">
        <w:rPr>
          <w:rFonts w:ascii="Times New Roman" w:hAnsi="Times New Roman"/>
          <w:spacing w:val="-2"/>
          <w:sz w:val="22"/>
          <w:szCs w:val="22"/>
        </w:rPr>
        <w:t>11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ab/>
        <w:t>The Board adopts Article 400.12(4) as amended below:</w:t>
      </w:r>
    </w:p>
    <w:p w14:paraId="17E6DF6C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0A4B2307" w14:textId="52DB235D" w:rsidR="006E43FE" w:rsidRDefault="005E1AE2" w:rsidP="005E1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1440"/>
        <w:jc w:val="both"/>
        <w:rPr>
          <w:rFonts w:ascii="Times New Roman" w:hAnsi="Times New Roman"/>
          <w:spacing w:val="-2"/>
          <w:sz w:val="22"/>
          <w:szCs w:val="22"/>
        </w:rPr>
      </w:pPr>
      <w:bookmarkStart w:id="2" w:name="_Hlk60738581"/>
      <w:r>
        <w:rPr>
          <w:rFonts w:ascii="Times New Roman" w:hAnsi="Times New Roman"/>
          <w:b/>
          <w:bCs/>
          <w:spacing w:val="-2"/>
          <w:sz w:val="22"/>
          <w:szCs w:val="22"/>
        </w:rPr>
        <w:tab/>
      </w:r>
      <w:r>
        <w:rPr>
          <w:rFonts w:ascii="Times New Roman" w:hAnsi="Times New Roman"/>
          <w:b/>
          <w:bCs/>
          <w:spacing w:val="-2"/>
          <w:sz w:val="22"/>
          <w:szCs w:val="22"/>
        </w:rPr>
        <w:tab/>
      </w:r>
      <w:r w:rsidR="007859C0" w:rsidRPr="001E0559">
        <w:rPr>
          <w:rFonts w:ascii="Times New Roman" w:hAnsi="Times New Roman"/>
          <w:b/>
          <w:bCs/>
          <w:spacing w:val="-2"/>
          <w:sz w:val="22"/>
          <w:szCs w:val="22"/>
        </w:rPr>
        <w:t>400.12</w:t>
      </w:r>
      <w:r w:rsidR="00D2697F">
        <w:rPr>
          <w:rFonts w:ascii="Times New Roman" w:hAnsi="Times New Roman"/>
          <w:b/>
          <w:bCs/>
          <w:spacing w:val="-2"/>
          <w:sz w:val="22"/>
          <w:szCs w:val="22"/>
        </w:rPr>
        <w:tab/>
      </w:r>
      <w:r w:rsidR="007859C0" w:rsidRPr="001E0559">
        <w:rPr>
          <w:rFonts w:ascii="Times New Roman" w:hAnsi="Times New Roman"/>
          <w:b/>
          <w:bCs/>
          <w:spacing w:val="-2"/>
          <w:sz w:val="22"/>
          <w:szCs w:val="22"/>
        </w:rPr>
        <w:t>Uses Not Permitted.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 xml:space="preserve"> Unless specifically permitted in 400.10, flexible cords, flexible cables, cord sets, and power supply cords shall not be used for the following:</w:t>
      </w:r>
    </w:p>
    <w:p w14:paraId="279507A2" w14:textId="77777777" w:rsidR="006E43FE" w:rsidRDefault="006E43FE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B5293B7" w14:textId="77777777" w:rsidR="006E43FE" w:rsidRPr="009A17F0" w:rsidRDefault="006E43FE" w:rsidP="006E43FE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jc w:val="center"/>
        <w:rPr>
          <w:rFonts w:ascii="Times New Roman" w:hAnsi="Times New Roman"/>
          <w:b/>
          <w:bCs/>
          <w:spacing w:val="-2"/>
          <w:szCs w:val="24"/>
        </w:rPr>
      </w:pPr>
      <w:r w:rsidRPr="009A17F0">
        <w:rPr>
          <w:rFonts w:ascii="Times New Roman" w:hAnsi="Times New Roman"/>
          <w:b/>
          <w:bCs/>
          <w:spacing w:val="-2"/>
          <w:szCs w:val="24"/>
        </w:rPr>
        <w:t>*  * *</w:t>
      </w:r>
    </w:p>
    <w:p w14:paraId="5650E655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78A122B1" w14:textId="78FA9A5C" w:rsidR="007859C0" w:rsidRPr="001E0559" w:rsidRDefault="008E3F6B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(4)</w:t>
      </w:r>
      <w:r w:rsidR="00D2697F">
        <w:rPr>
          <w:rFonts w:ascii="Times New Roman" w:hAnsi="Times New Roman"/>
          <w:spacing w:val="-2"/>
          <w:sz w:val="22"/>
          <w:szCs w:val="22"/>
        </w:rPr>
        <w:tab/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Where attached to building surfaces</w:t>
      </w:r>
    </w:p>
    <w:p w14:paraId="58BCDC02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60510E5E" w14:textId="77777777" w:rsidR="007859C0" w:rsidRPr="001E0559" w:rsidRDefault="007859C0" w:rsidP="004006BB">
      <w:pPr>
        <w:shd w:val="clear" w:color="auto" w:fill="FFFFFF" w:themeFill="background1"/>
        <w:ind w:left="2880"/>
        <w:jc w:val="both"/>
        <w:rPr>
          <w:rFonts w:ascii="Times New Roman" w:hAnsi="Times New Roman"/>
          <w:i/>
          <w:iCs/>
          <w:color w:val="44546A" w:themeColor="text2"/>
          <w:sz w:val="22"/>
          <w:szCs w:val="22"/>
        </w:rPr>
      </w:pPr>
      <w:r w:rsidRPr="001E0559">
        <w:rPr>
          <w:rFonts w:ascii="Times New Roman" w:hAnsi="Times New Roman"/>
          <w:i/>
          <w:iCs/>
          <w:sz w:val="22"/>
          <w:szCs w:val="22"/>
        </w:rPr>
        <w:t>Exception to (4): Flexible cord and flexible cable shall be permitted to be attached to building surfaces in accordance with </w:t>
      </w:r>
      <w:hyperlink r:id="rId11" w:anchor="ID000700002783" w:history="1">
        <w:r w:rsidRPr="001E0559">
          <w:rPr>
            <w:rStyle w:val="Hyperlink"/>
            <w:rFonts w:ascii="Times New Roman" w:hAnsi="Times New Roman"/>
            <w:i/>
            <w:iCs/>
            <w:color w:val="auto"/>
            <w:sz w:val="22"/>
            <w:szCs w:val="22"/>
            <w:u w:val="none"/>
          </w:rPr>
          <w:t>368.56(B)</w:t>
        </w:r>
      </w:hyperlink>
      <w:r w:rsidRPr="001E0559">
        <w:rPr>
          <w:rFonts w:ascii="Times New Roman" w:hAnsi="Times New Roman"/>
          <w:i/>
          <w:iCs/>
          <w:sz w:val="22"/>
          <w:szCs w:val="22"/>
        </w:rPr>
        <w:t> and </w:t>
      </w:r>
      <w:hyperlink r:id="rId12" w:anchor="ID000700007040" w:history="1">
        <w:r w:rsidRPr="001E0559">
          <w:rPr>
            <w:rStyle w:val="Hyperlink"/>
            <w:rFonts w:ascii="Times New Roman" w:hAnsi="Times New Roman"/>
            <w:i/>
            <w:iCs/>
            <w:color w:val="auto"/>
            <w:sz w:val="22"/>
            <w:szCs w:val="22"/>
            <w:u w:val="none"/>
          </w:rPr>
          <w:t>590.4</w:t>
        </w:r>
      </w:hyperlink>
      <w:r w:rsidRPr="001E0559">
        <w:rPr>
          <w:rFonts w:ascii="Times New Roman" w:hAnsi="Times New Roman"/>
          <w:i/>
          <w:iCs/>
          <w:sz w:val="22"/>
          <w:szCs w:val="22"/>
        </w:rPr>
        <w:t>. Flexible cord and cable shall also be permitted to have one connection to the building surface for a suitable tension take-up device. Length of the cord or cable from the supply termination to the take-up device shall be limited to 6’ (1.83 m). Strain relief cable grips shall be provided for the cord or cable at the equipment terminations.</w:t>
      </w:r>
    </w:p>
    <w:bookmarkEnd w:id="2"/>
    <w:p w14:paraId="20A11D98" w14:textId="77777777" w:rsidR="007859C0" w:rsidRDefault="007859C0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377F8C2F" w14:textId="77777777" w:rsidR="004006BB" w:rsidRDefault="004006BB" w:rsidP="00400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5FF903D8" w14:textId="2C3A323A" w:rsidR="007859C0" w:rsidRPr="001E0559" w:rsidRDefault="00C12675" w:rsidP="005E1AE2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720" w:firstLine="72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12</w:t>
      </w:r>
      <w:r w:rsidR="007859C0" w:rsidRPr="001E0559">
        <w:rPr>
          <w:rFonts w:ascii="Times New Roman" w:hAnsi="Times New Roman"/>
          <w:sz w:val="22"/>
          <w:szCs w:val="22"/>
        </w:rPr>
        <w:t>.</w:t>
      </w:r>
      <w:r w:rsidR="007859C0" w:rsidRPr="001E0559">
        <w:rPr>
          <w:rFonts w:ascii="Times New Roman" w:hAnsi="Times New Roman"/>
          <w:sz w:val="22"/>
          <w:szCs w:val="22"/>
        </w:rPr>
        <w:tab/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The Board adopts Article 406.9(C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>) as amended below</w:t>
      </w:r>
      <w:r w:rsidR="007859C0" w:rsidRPr="001E0559">
        <w:rPr>
          <w:rFonts w:ascii="Times New Roman" w:hAnsi="Times New Roman"/>
          <w:spacing w:val="-2"/>
          <w:sz w:val="22"/>
          <w:szCs w:val="22"/>
        </w:rPr>
        <w:t>:</w:t>
      </w:r>
    </w:p>
    <w:p w14:paraId="6F155513" w14:textId="77777777" w:rsidR="007859C0" w:rsidRPr="001E0559" w:rsidRDefault="007859C0" w:rsidP="004006BB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206DB16A" w14:textId="23B6C660" w:rsidR="007859C0" w:rsidRPr="001E0559" w:rsidRDefault="007859C0" w:rsidP="005E1AE2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720"/>
        <w:jc w:val="both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="005E1AE2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 xml:space="preserve">406.9 Receptacles in Damp or Wet Locations. . . </w:t>
      </w:r>
    </w:p>
    <w:p w14:paraId="2B3BFE8F" w14:textId="77777777" w:rsidR="007859C0" w:rsidRPr="001E0559" w:rsidRDefault="007859C0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pacing w:val="-2"/>
          <w:sz w:val="22"/>
          <w:szCs w:val="22"/>
        </w:rPr>
      </w:pPr>
    </w:p>
    <w:p w14:paraId="37A17FA1" w14:textId="626FB4A1" w:rsidR="007859C0" w:rsidRPr="001E0559" w:rsidRDefault="007859C0" w:rsidP="0043186E">
      <w:pPr>
        <w:tabs>
          <w:tab w:val="left" w:pos="720"/>
          <w:tab w:val="left" w:pos="1800"/>
          <w:tab w:val="left" w:pos="2070"/>
          <w:tab w:val="left" w:pos="2160"/>
        </w:tabs>
        <w:ind w:left="2880" w:hanging="720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>(C)</w:t>
      </w:r>
      <w:r w:rsidR="008E3F6B" w:rsidRPr="001E0559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bCs/>
          <w:spacing w:val="-2"/>
          <w:sz w:val="22"/>
          <w:szCs w:val="22"/>
        </w:rPr>
        <w:t>Bathtub and Shower Space</w:t>
      </w:r>
      <w:r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485956">
        <w:rPr>
          <w:rFonts w:ascii="Times New Roman" w:hAnsi="Times New Roman"/>
          <w:spacing w:val="-2"/>
          <w:sz w:val="22"/>
          <w:szCs w:val="22"/>
        </w:rPr>
        <w:t xml:space="preserve"> </w:t>
      </w:r>
      <w:bookmarkStart w:id="3" w:name="_Hlk60739125"/>
      <w:r w:rsidRPr="001E0559">
        <w:rPr>
          <w:rFonts w:ascii="Times New Roman" w:hAnsi="Times New Roman"/>
          <w:spacing w:val="-2"/>
          <w:sz w:val="22"/>
          <w:szCs w:val="22"/>
        </w:rPr>
        <w:t>Receptacles shall not be installed within or directly over a bathtub or shower stall.</w:t>
      </w:r>
    </w:p>
    <w:bookmarkEnd w:id="3"/>
    <w:p w14:paraId="49AA087F" w14:textId="77777777" w:rsidR="007859C0" w:rsidRPr="001E0559" w:rsidRDefault="007859C0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rPr>
          <w:rFonts w:ascii="Times New Roman" w:hAnsi="Times New Roman"/>
          <w:spacing w:val="-2"/>
          <w:sz w:val="22"/>
          <w:szCs w:val="22"/>
        </w:rPr>
      </w:pPr>
    </w:p>
    <w:p w14:paraId="216E23C8" w14:textId="25B486A8" w:rsidR="00434BE4" w:rsidRPr="001E0559" w:rsidRDefault="005E1AE2" w:rsidP="005E1AE2">
      <w:pPr>
        <w:tabs>
          <w:tab w:val="left" w:pos="720"/>
          <w:tab w:val="left" w:pos="1440"/>
          <w:tab w:val="left" w:pos="2160"/>
          <w:tab w:val="left" w:pos="3600"/>
          <w:tab w:val="left" w:pos="4320"/>
        </w:tabs>
        <w:ind w:left="7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r w:rsidR="00C12675">
        <w:rPr>
          <w:rFonts w:ascii="Times New Roman" w:hAnsi="Times New Roman"/>
          <w:spacing w:val="-2"/>
          <w:sz w:val="22"/>
          <w:szCs w:val="22"/>
        </w:rPr>
        <w:t>13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ab/>
        <w:t>The Board adopts Article 702.4(</w:t>
      </w:r>
      <w:r w:rsidR="0089321B">
        <w:rPr>
          <w:rFonts w:ascii="Times New Roman" w:hAnsi="Times New Roman"/>
          <w:spacing w:val="-2"/>
          <w:sz w:val="22"/>
          <w:szCs w:val="22"/>
        </w:rPr>
        <w:t>A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>)(2)</w:t>
      </w:r>
      <w:r w:rsidR="001D0BAB">
        <w:rPr>
          <w:rFonts w:ascii="Times New Roman" w:hAnsi="Times New Roman"/>
          <w:spacing w:val="-2"/>
          <w:sz w:val="22"/>
          <w:szCs w:val="22"/>
        </w:rPr>
        <w:t>(a)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 xml:space="preserve"> as amended below:</w:t>
      </w:r>
    </w:p>
    <w:p w14:paraId="195F7A83" w14:textId="77777777" w:rsidR="00434BE4" w:rsidRPr="001E0559" w:rsidRDefault="00434BE4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pacing w:val="-2"/>
          <w:sz w:val="22"/>
          <w:szCs w:val="22"/>
        </w:rPr>
      </w:pPr>
    </w:p>
    <w:p w14:paraId="7EEBB8AC" w14:textId="32FD4C2D" w:rsidR="00434BE4" w:rsidRPr="001E0559" w:rsidRDefault="00434BE4" w:rsidP="00431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/>
          <w:b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spacing w:val="-2"/>
          <w:sz w:val="22"/>
          <w:szCs w:val="22"/>
        </w:rPr>
        <w:tab/>
      </w:r>
      <w:r w:rsidR="005E1AE2">
        <w:rPr>
          <w:rFonts w:ascii="Times New Roman" w:hAnsi="Times New Roman"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>702.4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 xml:space="preserve">Capacity and Rating. . . </w:t>
      </w:r>
    </w:p>
    <w:p w14:paraId="34188A75" w14:textId="77777777" w:rsidR="00434BE4" w:rsidRPr="001E0559" w:rsidRDefault="00434BE4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/>
          <w:b/>
          <w:spacing w:val="-2"/>
          <w:sz w:val="22"/>
          <w:szCs w:val="22"/>
        </w:rPr>
      </w:pPr>
    </w:p>
    <w:p w14:paraId="2C847A9B" w14:textId="63FB6724" w:rsidR="00434BE4" w:rsidRPr="001E0559" w:rsidRDefault="00434BE4" w:rsidP="00431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>(</w:t>
      </w:r>
      <w:r w:rsidR="0089321B">
        <w:rPr>
          <w:rFonts w:ascii="Times New Roman" w:hAnsi="Times New Roman"/>
          <w:b/>
          <w:spacing w:val="-2"/>
          <w:sz w:val="22"/>
          <w:szCs w:val="22"/>
        </w:rPr>
        <w:t>A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>)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 xml:space="preserve">System Capacity. . . </w:t>
      </w:r>
    </w:p>
    <w:p w14:paraId="71604673" w14:textId="77777777" w:rsidR="00434BE4" w:rsidRPr="001E0559" w:rsidRDefault="00434BE4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/>
          <w:spacing w:val="-2"/>
          <w:sz w:val="22"/>
          <w:szCs w:val="22"/>
        </w:rPr>
      </w:pPr>
    </w:p>
    <w:p w14:paraId="157BA82F" w14:textId="6FD77C5F" w:rsidR="00434BE4" w:rsidRPr="001E0559" w:rsidRDefault="00434BE4" w:rsidP="00431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3600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</w:r>
      <w:r w:rsidRPr="00ED3056">
        <w:rPr>
          <w:rFonts w:ascii="Times New Roman" w:hAnsi="Times New Roman"/>
          <w:b/>
          <w:bCs/>
          <w:spacing w:val="-2"/>
          <w:sz w:val="22"/>
          <w:szCs w:val="22"/>
        </w:rPr>
        <w:t>(2)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ab/>
        <w:t xml:space="preserve">Automatic </w:t>
      </w:r>
      <w:r w:rsidR="0089321B">
        <w:rPr>
          <w:rFonts w:ascii="Times New Roman" w:hAnsi="Times New Roman"/>
          <w:b/>
          <w:spacing w:val="-2"/>
          <w:sz w:val="22"/>
          <w:szCs w:val="22"/>
        </w:rPr>
        <w:t>Load Connection</w:t>
      </w:r>
      <w:r w:rsidRPr="001E0559">
        <w:rPr>
          <w:rFonts w:ascii="Times New Roman" w:hAnsi="Times New Roman"/>
          <w:b/>
          <w:spacing w:val="-2"/>
          <w:sz w:val="22"/>
          <w:szCs w:val="22"/>
        </w:rPr>
        <w:t>.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 For other than single-family dwellings, </w:t>
      </w:r>
      <w:r w:rsidR="0089321B">
        <w:rPr>
          <w:rFonts w:ascii="Times New Roman" w:hAnsi="Times New Roman"/>
          <w:spacing w:val="-2"/>
          <w:sz w:val="22"/>
          <w:szCs w:val="22"/>
        </w:rPr>
        <w:t>if the connection of load is automatic</w:t>
      </w:r>
      <w:r w:rsidRPr="001E0559">
        <w:rPr>
          <w:rFonts w:ascii="Times New Roman" w:hAnsi="Times New Roman"/>
          <w:spacing w:val="-2"/>
          <w:sz w:val="22"/>
          <w:szCs w:val="22"/>
        </w:rPr>
        <w:t>, an optional standby system shall comply with 702.4(</w:t>
      </w:r>
      <w:r w:rsidR="0089321B">
        <w:rPr>
          <w:rFonts w:ascii="Times New Roman" w:hAnsi="Times New Roman"/>
          <w:spacing w:val="-2"/>
          <w:sz w:val="22"/>
          <w:szCs w:val="22"/>
        </w:rPr>
        <w:t>A</w:t>
      </w:r>
      <w:r w:rsidRPr="001E0559">
        <w:rPr>
          <w:rFonts w:ascii="Times New Roman" w:hAnsi="Times New Roman"/>
          <w:spacing w:val="-2"/>
          <w:sz w:val="22"/>
          <w:szCs w:val="22"/>
        </w:rPr>
        <w:t>)(2)(a) or (</w:t>
      </w:r>
      <w:r w:rsidR="0089321B">
        <w:rPr>
          <w:rFonts w:ascii="Times New Roman" w:hAnsi="Times New Roman"/>
          <w:spacing w:val="-2"/>
          <w:sz w:val="22"/>
          <w:szCs w:val="22"/>
        </w:rPr>
        <w:t>A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)(2)(b) in accordance with </w:t>
      </w:r>
      <w:r w:rsidR="0089321B">
        <w:rPr>
          <w:rFonts w:ascii="Times New Roman" w:hAnsi="Times New Roman"/>
          <w:spacing w:val="-2"/>
          <w:sz w:val="22"/>
          <w:szCs w:val="22"/>
        </w:rPr>
        <w:t xml:space="preserve">Parts I through IV of </w:t>
      </w:r>
      <w:r w:rsidRPr="001E0559">
        <w:rPr>
          <w:rFonts w:ascii="Times New Roman" w:hAnsi="Times New Roman"/>
          <w:spacing w:val="-2"/>
          <w:sz w:val="22"/>
          <w:szCs w:val="22"/>
        </w:rPr>
        <w:t>Article 220 or by another approved method.</w:t>
      </w:r>
    </w:p>
    <w:p w14:paraId="43EFD709" w14:textId="77777777" w:rsidR="001421A5" w:rsidRPr="001E0559" w:rsidRDefault="001421A5" w:rsidP="00431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0" w:hanging="3600"/>
        <w:rPr>
          <w:rFonts w:ascii="Times New Roman" w:hAnsi="Times New Roman"/>
          <w:spacing w:val="-2"/>
          <w:sz w:val="22"/>
          <w:szCs w:val="22"/>
        </w:rPr>
      </w:pPr>
    </w:p>
    <w:p w14:paraId="63194471" w14:textId="38CB2BCB" w:rsidR="001421A5" w:rsidRPr="001E0559" w:rsidRDefault="001421A5" w:rsidP="0043186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i/>
          <w:iCs/>
          <w:spacing w:val="-2"/>
          <w:sz w:val="22"/>
          <w:szCs w:val="22"/>
        </w:rPr>
        <w:t>Full Load</w:t>
      </w:r>
      <w:r w:rsidRPr="001E0559">
        <w:rPr>
          <w:rFonts w:ascii="Times New Roman" w:hAnsi="Times New Roman"/>
          <w:spacing w:val="-2"/>
          <w:sz w:val="22"/>
          <w:szCs w:val="22"/>
        </w:rPr>
        <w:t>.</w:t>
      </w:r>
      <w:r w:rsidR="00485956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1E0559">
        <w:rPr>
          <w:rFonts w:ascii="Times New Roman" w:hAnsi="Times New Roman"/>
          <w:spacing w:val="-2"/>
          <w:sz w:val="22"/>
          <w:szCs w:val="22"/>
        </w:rPr>
        <w:t xml:space="preserve">The standby source shall be capable </w:t>
      </w:r>
      <w:r w:rsidR="00217338" w:rsidRPr="001E0559">
        <w:rPr>
          <w:rFonts w:ascii="Times New Roman" w:hAnsi="Times New Roman"/>
          <w:spacing w:val="-2"/>
          <w:sz w:val="22"/>
          <w:szCs w:val="22"/>
        </w:rPr>
        <w:t>of supplying the full load that is</w:t>
      </w:r>
      <w:r w:rsidR="0089321B">
        <w:rPr>
          <w:rFonts w:ascii="Times New Roman" w:hAnsi="Times New Roman"/>
          <w:spacing w:val="-2"/>
          <w:sz w:val="22"/>
          <w:szCs w:val="22"/>
        </w:rPr>
        <w:t xml:space="preserve"> automatically connected</w:t>
      </w:r>
      <w:r w:rsidR="00217338" w:rsidRPr="001E0559">
        <w:rPr>
          <w:rFonts w:ascii="Times New Roman" w:hAnsi="Times New Roman"/>
          <w:spacing w:val="-2"/>
          <w:sz w:val="22"/>
          <w:szCs w:val="22"/>
        </w:rPr>
        <w:t>.</w:t>
      </w:r>
    </w:p>
    <w:p w14:paraId="5B638A87" w14:textId="77777777" w:rsidR="001421A5" w:rsidRPr="001E0559" w:rsidRDefault="001421A5" w:rsidP="0043186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960"/>
        <w:rPr>
          <w:rFonts w:ascii="Times New Roman" w:hAnsi="Times New Roman"/>
          <w:spacing w:val="-2"/>
          <w:sz w:val="22"/>
          <w:szCs w:val="22"/>
        </w:rPr>
      </w:pPr>
    </w:p>
    <w:p w14:paraId="50DDD0F5" w14:textId="62FDBAC4" w:rsidR="00434BE4" w:rsidRPr="001E0559" w:rsidRDefault="00D65407" w:rsidP="00D6540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Cs/>
          <w:spacing w:val="-2"/>
          <w:sz w:val="22"/>
          <w:szCs w:val="22"/>
        </w:rPr>
        <w:t xml:space="preserve">SECTION </w:t>
      </w:r>
      <w:r w:rsidR="00434BE4" w:rsidRPr="001E0559">
        <w:rPr>
          <w:rFonts w:ascii="Times New Roman" w:hAnsi="Times New Roman"/>
          <w:bCs/>
          <w:spacing w:val="-2"/>
          <w:sz w:val="22"/>
          <w:szCs w:val="22"/>
        </w:rPr>
        <w:t>3.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ab/>
        <w:t xml:space="preserve">Copies of the </w:t>
      </w:r>
      <w:r w:rsidR="00434BE4" w:rsidRPr="001E0559">
        <w:rPr>
          <w:rFonts w:ascii="Times New Roman" w:hAnsi="Times New Roman"/>
          <w:i/>
          <w:spacing w:val="-2"/>
          <w:sz w:val="22"/>
          <w:szCs w:val="22"/>
        </w:rPr>
        <w:t>National Electrical Code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434BE4" w:rsidRPr="001E0559">
        <w:rPr>
          <w:rFonts w:ascii="Times New Roman" w:hAnsi="Times New Roman"/>
          <w:i/>
          <w:spacing w:val="-2"/>
          <w:sz w:val="22"/>
          <w:szCs w:val="22"/>
        </w:rPr>
        <w:t xml:space="preserve">National Fire Protection Association </w:t>
      </w:r>
      <w:r w:rsidR="00434BE4" w:rsidRPr="001E0559">
        <w:rPr>
          <w:rFonts w:ascii="Times New Roman" w:hAnsi="Times New Roman"/>
          <w:iCs/>
          <w:spacing w:val="-2"/>
          <w:sz w:val="22"/>
          <w:szCs w:val="22"/>
        </w:rPr>
        <w:t>standard</w:t>
      </w:r>
      <w:r w:rsidR="00434BE4" w:rsidRPr="001E0559">
        <w:rPr>
          <w:rFonts w:ascii="Times New Roman" w:hAnsi="Times New Roman"/>
          <w:i/>
          <w:spacing w:val="-2"/>
          <w:sz w:val="22"/>
          <w:szCs w:val="22"/>
        </w:rPr>
        <w:t xml:space="preserve"> #70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060BB9">
        <w:rPr>
          <w:rFonts w:ascii="Times New Roman" w:hAnsi="Times New Roman"/>
          <w:spacing w:val="-2"/>
          <w:sz w:val="22"/>
          <w:szCs w:val="22"/>
        </w:rPr>
        <w:t xml:space="preserve">(2023 Edition) </w:t>
      </w:r>
      <w:r w:rsidR="00434BE4" w:rsidRPr="001E0559">
        <w:rPr>
          <w:rFonts w:ascii="Times New Roman" w:hAnsi="Times New Roman"/>
          <w:spacing w:val="-2"/>
          <w:sz w:val="22"/>
          <w:szCs w:val="22"/>
        </w:rPr>
        <w:t>may be purchased from:</w:t>
      </w:r>
    </w:p>
    <w:p w14:paraId="68A61DFE" w14:textId="77777777" w:rsidR="00434BE4" w:rsidRPr="001E0559" w:rsidRDefault="00434BE4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pacing w:val="-2"/>
          <w:sz w:val="22"/>
          <w:szCs w:val="22"/>
        </w:rPr>
      </w:pPr>
    </w:p>
    <w:p w14:paraId="47D9950E" w14:textId="1218F781" w:rsidR="00434BE4" w:rsidRPr="001E0559" w:rsidRDefault="00434BE4" w:rsidP="00D6540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1440"/>
        <w:rPr>
          <w:rFonts w:ascii="Times New Roman" w:hAnsi="Times New Roman"/>
          <w:spacing w:val="-2"/>
          <w:sz w:val="22"/>
          <w:szCs w:val="22"/>
        </w:rPr>
      </w:pPr>
      <w:r w:rsidRPr="001E0559">
        <w:rPr>
          <w:rFonts w:ascii="Times New Roman" w:hAnsi="Times New Roman"/>
          <w:spacing w:val="-2"/>
          <w:sz w:val="22"/>
          <w:szCs w:val="22"/>
        </w:rPr>
        <w:t>National Fire Protection Association</w:t>
      </w:r>
      <w:r w:rsidRPr="001E0559">
        <w:rPr>
          <w:rFonts w:ascii="Times New Roman" w:hAnsi="Times New Roman"/>
          <w:spacing w:val="-2"/>
          <w:sz w:val="22"/>
          <w:szCs w:val="22"/>
        </w:rPr>
        <w:br/>
        <w:t>1 Batterymarch Park, P.O. Box 9101</w:t>
      </w:r>
      <w:r w:rsidRPr="001E0559">
        <w:rPr>
          <w:rFonts w:ascii="Times New Roman" w:hAnsi="Times New Roman"/>
          <w:spacing w:val="-2"/>
          <w:sz w:val="22"/>
          <w:szCs w:val="22"/>
        </w:rPr>
        <w:br/>
        <w:t>Quincy, MA 02269-9101</w:t>
      </w:r>
      <w:r w:rsidRPr="001E0559">
        <w:rPr>
          <w:rFonts w:ascii="Times New Roman" w:hAnsi="Times New Roman"/>
          <w:spacing w:val="-2"/>
          <w:sz w:val="22"/>
          <w:szCs w:val="22"/>
        </w:rPr>
        <w:br/>
        <w:t>Telephone: 1-800-344-3555</w:t>
      </w:r>
    </w:p>
    <w:p w14:paraId="013816A0" w14:textId="349F5FE9" w:rsidR="00434BE4" w:rsidRPr="001E0559" w:rsidRDefault="00D65407" w:rsidP="0043186E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pacing w:val="-2"/>
          <w:sz w:val="22"/>
          <w:szCs w:val="22"/>
        </w:rPr>
      </w:pPr>
      <w:r>
        <w:tab/>
      </w:r>
      <w:hyperlink r:id="rId13" w:history="1">
        <w:r w:rsidRPr="000306CF">
          <w:rPr>
            <w:rStyle w:val="Hyperlink"/>
            <w:rFonts w:ascii="Times New Roman" w:hAnsi="Times New Roman"/>
            <w:spacing w:val="-2"/>
            <w:sz w:val="22"/>
            <w:szCs w:val="22"/>
          </w:rPr>
          <w:t>www.nfpa.org</w:t>
        </w:r>
      </w:hyperlink>
    </w:p>
    <w:p w14:paraId="07033EB7" w14:textId="77777777" w:rsidR="008A6D5C" w:rsidRDefault="008A6D5C" w:rsidP="008A6D5C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</w:p>
    <w:p w14:paraId="1879599B" w14:textId="77777777" w:rsidR="008A6D5C" w:rsidRDefault="008A6D5C" w:rsidP="008A6D5C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</w:p>
    <w:p w14:paraId="036193AD" w14:textId="77777777" w:rsidR="008A6D5C" w:rsidRDefault="008A6D5C" w:rsidP="008A6D5C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</w:p>
    <w:p w14:paraId="751681DC" w14:textId="13270F9D" w:rsidR="008A6D5C" w:rsidRPr="0037172B" w:rsidRDefault="008A6D5C" w:rsidP="003902C5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37172B">
        <w:rPr>
          <w:rFonts w:ascii="Times New Roman" w:hAnsi="Times New Roman"/>
          <w:sz w:val="22"/>
          <w:szCs w:val="22"/>
        </w:rPr>
        <w:t>STATUTORY AUTHORITY:</w:t>
      </w:r>
      <w:r w:rsidR="003902C5">
        <w:rPr>
          <w:rFonts w:ascii="Times New Roman" w:hAnsi="Times New Roman"/>
          <w:sz w:val="22"/>
          <w:szCs w:val="22"/>
        </w:rPr>
        <w:t xml:space="preserve"> </w:t>
      </w:r>
      <w:r w:rsidRPr="0037172B">
        <w:rPr>
          <w:rFonts w:ascii="Times New Roman" w:hAnsi="Times New Roman"/>
          <w:sz w:val="22"/>
          <w:szCs w:val="22"/>
        </w:rPr>
        <w:t>32 M.R.S</w:t>
      </w:r>
      <w:r>
        <w:rPr>
          <w:rFonts w:ascii="Times New Roman" w:hAnsi="Times New Roman"/>
          <w:sz w:val="22"/>
          <w:szCs w:val="22"/>
        </w:rPr>
        <w:t>.</w:t>
      </w:r>
      <w:r w:rsidRPr="0037172B">
        <w:rPr>
          <w:rFonts w:ascii="Times New Roman" w:hAnsi="Times New Roman"/>
          <w:sz w:val="22"/>
          <w:szCs w:val="22"/>
        </w:rPr>
        <w:t xml:space="preserve"> §§ 1153 and 1153-A</w:t>
      </w:r>
    </w:p>
    <w:p w14:paraId="31D8A08A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</w:p>
    <w:p w14:paraId="5E93A2E0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>EFFECTIVE DATE:</w:t>
      </w:r>
    </w:p>
    <w:p w14:paraId="60DC55EC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February 16, 1986 - filing 86-45</w:t>
      </w:r>
    </w:p>
    <w:p w14:paraId="7FD923CF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</w:p>
    <w:p w14:paraId="483FBDAD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>AMENDED:</w:t>
      </w:r>
    </w:p>
    <w:p w14:paraId="505C6AE4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January 10, 1988 – filing 88-2</w:t>
      </w:r>
    </w:p>
    <w:p w14:paraId="047D8CE4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December 27, 1989 – filing 89-576</w:t>
      </w:r>
    </w:p>
    <w:p w14:paraId="5F92B50F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March 27, 1993 – filing 93-72</w:t>
      </w:r>
    </w:p>
    <w:p w14:paraId="1A38DD10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June 10, 1996 – filing 96-257</w:t>
      </w:r>
    </w:p>
    <w:p w14:paraId="128575C6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</w:p>
    <w:p w14:paraId="2503E0EF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>EFFECTIVE DATE (ELECTRONIC CONVERSION):</w:t>
      </w:r>
    </w:p>
    <w:p w14:paraId="20D8E68D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2"/>
          <w:attr w:name="Month" w:val="11"/>
        </w:smartTagPr>
        <w:r w:rsidRPr="003902C5">
          <w:rPr>
            <w:rFonts w:ascii="Times New Roman" w:hAnsi="Times New Roman"/>
            <w:sz w:val="22"/>
            <w:szCs w:val="22"/>
          </w:rPr>
          <w:t>November 2, 1996</w:t>
        </w:r>
      </w:smartTag>
    </w:p>
    <w:p w14:paraId="3C116BC4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</w:p>
    <w:p w14:paraId="03600F0E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>AMENDED:</w:t>
      </w:r>
    </w:p>
    <w:p w14:paraId="172E3F31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July 15, 2000 – filing 2000-267</w:t>
      </w:r>
    </w:p>
    <w:p w14:paraId="643AE9A1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</w:p>
    <w:p w14:paraId="4321B37C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>REPEALED AND REPLACED:</w:t>
      </w:r>
    </w:p>
    <w:p w14:paraId="7EEF6865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lastRenderedPageBreak/>
        <w:tab/>
        <w:t>August 28, 2002 – filing 2002-329</w:t>
      </w:r>
    </w:p>
    <w:p w14:paraId="4184EE6A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5"/>
          <w:attr w:name="Day" w:val="20"/>
          <w:attr w:name="Month" w:val="8"/>
        </w:smartTagPr>
        <w:r w:rsidRPr="003902C5">
          <w:rPr>
            <w:rFonts w:ascii="Times New Roman" w:hAnsi="Times New Roman"/>
            <w:sz w:val="22"/>
            <w:szCs w:val="22"/>
          </w:rPr>
          <w:t>August 20, 2005</w:t>
        </w:r>
      </w:smartTag>
      <w:r w:rsidRPr="003902C5">
        <w:rPr>
          <w:rFonts w:ascii="Times New Roman" w:hAnsi="Times New Roman"/>
          <w:sz w:val="22"/>
          <w:szCs w:val="22"/>
        </w:rPr>
        <w:t xml:space="preserve"> – filing 2005-328</w:t>
      </w:r>
    </w:p>
    <w:p w14:paraId="23BB3EF0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</w:p>
    <w:p w14:paraId="616A3C47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>AMENDED:</w:t>
      </w:r>
    </w:p>
    <w:p w14:paraId="43974762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8"/>
          <w:attr w:name="Day" w:val="1"/>
          <w:attr w:name="Month" w:val="9"/>
        </w:smartTagPr>
        <w:r w:rsidRPr="003902C5">
          <w:rPr>
            <w:rFonts w:ascii="Times New Roman" w:hAnsi="Times New Roman"/>
            <w:sz w:val="22"/>
            <w:szCs w:val="22"/>
          </w:rPr>
          <w:t>September 1, 2008</w:t>
        </w:r>
      </w:smartTag>
      <w:r w:rsidRPr="003902C5">
        <w:rPr>
          <w:rFonts w:ascii="Times New Roman" w:hAnsi="Times New Roman"/>
          <w:sz w:val="22"/>
          <w:szCs w:val="22"/>
        </w:rPr>
        <w:t xml:space="preserve"> – filing 2008-361</w:t>
      </w:r>
    </w:p>
    <w:p w14:paraId="1D9A6168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July 19, 2011 – filing 2011-239</w:t>
      </w:r>
    </w:p>
    <w:p w14:paraId="46978E59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August 20, 2014 – filing 2014-193</w:t>
      </w:r>
    </w:p>
    <w:p w14:paraId="3F3CD5AE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November 6, 2017 – filing 2017-170</w:t>
      </w:r>
    </w:p>
    <w:p w14:paraId="1BDE5CE3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</w:p>
    <w:p w14:paraId="3C9E40CA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>REPEALED AND REPLACED:</w:t>
      </w:r>
    </w:p>
    <w:p w14:paraId="1E28546F" w14:textId="77777777" w:rsidR="003902C5" w:rsidRP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2"/>
          <w:szCs w:val="22"/>
        </w:rPr>
      </w:pPr>
      <w:r w:rsidRPr="003902C5">
        <w:rPr>
          <w:rFonts w:ascii="Times New Roman" w:hAnsi="Times New Roman"/>
          <w:sz w:val="22"/>
          <w:szCs w:val="22"/>
        </w:rPr>
        <w:tab/>
        <w:t>July 2, 2021 – filing 2021-136</w:t>
      </w:r>
    </w:p>
    <w:p w14:paraId="0203753A" w14:textId="77777777" w:rsid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0135CCEB" w14:textId="2BE7B9CB" w:rsid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REPEALED AND REPLACED:</w:t>
      </w:r>
    </w:p>
    <w:p w14:paraId="45F5E5AC" w14:textId="0708343F" w:rsidR="003902C5" w:rsidRDefault="003902C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July 1, 2024 – filing 2024-142</w:t>
      </w:r>
    </w:p>
    <w:p w14:paraId="1B2033EE" w14:textId="0A16FE51" w:rsidR="00BB5BD5" w:rsidRPr="001E0559" w:rsidRDefault="00BB5BD5" w:rsidP="00390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</w:p>
    <w:sectPr w:rsidR="00BB5BD5" w:rsidRPr="001E0559" w:rsidSect="00E85595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3ABD" w14:textId="77777777" w:rsidR="00917846" w:rsidRDefault="00917846" w:rsidP="00E85595">
      <w:r>
        <w:separator/>
      </w:r>
    </w:p>
  </w:endnote>
  <w:endnote w:type="continuationSeparator" w:id="0">
    <w:p w14:paraId="44E5E5A8" w14:textId="77777777" w:rsidR="00917846" w:rsidRDefault="00917846" w:rsidP="00E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BaskervilleStd-Roman">
    <w:altName w:val="SimSun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A964" w14:textId="77777777" w:rsidR="00917846" w:rsidRDefault="00917846" w:rsidP="00E85595">
      <w:r>
        <w:separator/>
      </w:r>
    </w:p>
  </w:footnote>
  <w:footnote w:type="continuationSeparator" w:id="0">
    <w:p w14:paraId="2242B583" w14:textId="77777777" w:rsidR="00917846" w:rsidRDefault="00917846" w:rsidP="00E8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432E" w14:textId="7C48CD15" w:rsidR="00E85595" w:rsidRPr="00E85595" w:rsidRDefault="00E85595" w:rsidP="00E85595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02-318 Chapter 120</w:t>
    </w:r>
    <w:r w:rsidR="00485956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 xml:space="preserve"> </w:t>
    </w:r>
    <w:r w:rsidR="00D57EA3">
      <w:rPr>
        <w:rFonts w:ascii="Times New Roman" w:hAnsi="Times New Roman"/>
        <w:sz w:val="18"/>
        <w:szCs w:val="18"/>
      </w:rPr>
      <w:t xml:space="preserve">   </w:t>
    </w:r>
    <w:r>
      <w:rPr>
        <w:rFonts w:ascii="Times New Roman" w:hAnsi="Times New Roman"/>
        <w:sz w:val="18"/>
        <w:szCs w:val="18"/>
      </w:rPr>
      <w:t xml:space="preserve">page </w:t>
    </w:r>
    <w:r w:rsidRPr="00E85595">
      <w:rPr>
        <w:rFonts w:ascii="Times New Roman" w:hAnsi="Times New Roman"/>
        <w:sz w:val="18"/>
        <w:szCs w:val="18"/>
      </w:rPr>
      <w:fldChar w:fldCharType="begin"/>
    </w:r>
    <w:r w:rsidRPr="00E85595">
      <w:rPr>
        <w:rFonts w:ascii="Times New Roman" w:hAnsi="Times New Roman"/>
        <w:sz w:val="18"/>
        <w:szCs w:val="18"/>
      </w:rPr>
      <w:instrText xml:space="preserve"> PAGE   \* MERGEFORMAT </w:instrText>
    </w:r>
    <w:r w:rsidRPr="00E85595">
      <w:rPr>
        <w:rFonts w:ascii="Times New Roman" w:hAnsi="Times New Roman"/>
        <w:sz w:val="18"/>
        <w:szCs w:val="18"/>
      </w:rPr>
      <w:fldChar w:fldCharType="separate"/>
    </w:r>
    <w:r w:rsidRPr="00E85595">
      <w:rPr>
        <w:rFonts w:ascii="Times New Roman" w:hAnsi="Times New Roman"/>
        <w:noProof/>
        <w:sz w:val="18"/>
        <w:szCs w:val="18"/>
      </w:rPr>
      <w:t>1</w:t>
    </w:r>
    <w:r w:rsidRPr="00E85595">
      <w:rPr>
        <w:rFonts w:ascii="Times New Roman" w:hAnsi="Times New Roman"/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55A" w14:textId="10F74ADC" w:rsidR="00543367" w:rsidRDefault="00543367" w:rsidP="005433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8C3"/>
    <w:multiLevelType w:val="hybridMultilevel"/>
    <w:tmpl w:val="385ED21C"/>
    <w:lvl w:ilvl="0" w:tplc="221AA8DA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497CD5"/>
    <w:multiLevelType w:val="hybridMultilevel"/>
    <w:tmpl w:val="9BD00532"/>
    <w:lvl w:ilvl="0" w:tplc="863E7900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84691"/>
    <w:multiLevelType w:val="hybridMultilevel"/>
    <w:tmpl w:val="0E2CF55E"/>
    <w:lvl w:ilvl="0" w:tplc="6F7A312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9EE2B80"/>
    <w:multiLevelType w:val="hybridMultilevel"/>
    <w:tmpl w:val="6BB8DEFE"/>
    <w:lvl w:ilvl="0" w:tplc="8D349BD2">
      <w:start w:val="8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D6CA1"/>
    <w:multiLevelType w:val="hybridMultilevel"/>
    <w:tmpl w:val="D89456A4"/>
    <w:lvl w:ilvl="0" w:tplc="529EE9C4">
      <w:start w:val="1"/>
      <w:numFmt w:val="upperLetter"/>
      <w:lvlText w:val="(%1)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F680692"/>
    <w:multiLevelType w:val="hybridMultilevel"/>
    <w:tmpl w:val="5B728E24"/>
    <w:lvl w:ilvl="0" w:tplc="9CA4C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0E4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56C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1ED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CE66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723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22F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CE6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368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79C0ABB"/>
    <w:multiLevelType w:val="hybridMultilevel"/>
    <w:tmpl w:val="AF4CACC2"/>
    <w:lvl w:ilvl="0" w:tplc="FB74228C">
      <w:start w:val="7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A67FB"/>
    <w:multiLevelType w:val="hybridMultilevel"/>
    <w:tmpl w:val="A69AE5F8"/>
    <w:lvl w:ilvl="0" w:tplc="F77E51C4">
      <w:start w:val="1"/>
      <w:numFmt w:val="lowerLetter"/>
      <w:lvlText w:val="(%1)"/>
      <w:lvlJc w:val="left"/>
      <w:pPr>
        <w:ind w:left="39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1494F42"/>
    <w:multiLevelType w:val="hybridMultilevel"/>
    <w:tmpl w:val="3D266432"/>
    <w:lvl w:ilvl="0" w:tplc="66401CB8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FB4"/>
    <w:multiLevelType w:val="hybridMultilevel"/>
    <w:tmpl w:val="EDA8C93E"/>
    <w:lvl w:ilvl="0" w:tplc="4C4C6B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7618308">
    <w:abstractNumId w:val="7"/>
  </w:num>
  <w:num w:numId="2" w16cid:durableId="1301224413">
    <w:abstractNumId w:val="4"/>
  </w:num>
  <w:num w:numId="3" w16cid:durableId="672954020">
    <w:abstractNumId w:val="2"/>
  </w:num>
  <w:num w:numId="4" w16cid:durableId="826631963">
    <w:abstractNumId w:val="8"/>
  </w:num>
  <w:num w:numId="5" w16cid:durableId="1681859082">
    <w:abstractNumId w:val="0"/>
  </w:num>
  <w:num w:numId="6" w16cid:durableId="504983150">
    <w:abstractNumId w:val="3"/>
  </w:num>
  <w:num w:numId="7" w16cid:durableId="1194072041">
    <w:abstractNumId w:val="6"/>
  </w:num>
  <w:num w:numId="8" w16cid:durableId="363555472">
    <w:abstractNumId w:val="5"/>
  </w:num>
  <w:num w:numId="9" w16cid:durableId="1647204616">
    <w:abstractNumId w:val="1"/>
  </w:num>
  <w:num w:numId="10" w16cid:durableId="56436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MjI0MjE1NbA0MTFU0lEKTi0uzszPAykwNKsFAF3WRjQtAAAA"/>
  </w:docVars>
  <w:rsids>
    <w:rsidRoot w:val="0061739D"/>
    <w:rsid w:val="0001743F"/>
    <w:rsid w:val="00025591"/>
    <w:rsid w:val="000506E0"/>
    <w:rsid w:val="00057ECC"/>
    <w:rsid w:val="00060BB9"/>
    <w:rsid w:val="000837AE"/>
    <w:rsid w:val="00094A6F"/>
    <w:rsid w:val="000A77DB"/>
    <w:rsid w:val="000D14AF"/>
    <w:rsid w:val="001077DC"/>
    <w:rsid w:val="001421A5"/>
    <w:rsid w:val="00142EB2"/>
    <w:rsid w:val="001874D8"/>
    <w:rsid w:val="00190AB7"/>
    <w:rsid w:val="001A5A24"/>
    <w:rsid w:val="001C1874"/>
    <w:rsid w:val="001D0BAB"/>
    <w:rsid w:val="001E0559"/>
    <w:rsid w:val="001F182F"/>
    <w:rsid w:val="002053A5"/>
    <w:rsid w:val="0020792B"/>
    <w:rsid w:val="00217338"/>
    <w:rsid w:val="00224693"/>
    <w:rsid w:val="002257F0"/>
    <w:rsid w:val="002261D2"/>
    <w:rsid w:val="00261A19"/>
    <w:rsid w:val="002C51F0"/>
    <w:rsid w:val="002F1FDB"/>
    <w:rsid w:val="00304B55"/>
    <w:rsid w:val="003706A0"/>
    <w:rsid w:val="00373605"/>
    <w:rsid w:val="00377B70"/>
    <w:rsid w:val="00381984"/>
    <w:rsid w:val="00385187"/>
    <w:rsid w:val="003902C5"/>
    <w:rsid w:val="003B3125"/>
    <w:rsid w:val="003C0986"/>
    <w:rsid w:val="003F0DA5"/>
    <w:rsid w:val="004006BB"/>
    <w:rsid w:val="0043186E"/>
    <w:rsid w:val="00434BE4"/>
    <w:rsid w:val="00462B8B"/>
    <w:rsid w:val="0047474E"/>
    <w:rsid w:val="00485956"/>
    <w:rsid w:val="004B042A"/>
    <w:rsid w:val="004B620C"/>
    <w:rsid w:val="004B6B44"/>
    <w:rsid w:val="004C2773"/>
    <w:rsid w:val="004F7889"/>
    <w:rsid w:val="005165FB"/>
    <w:rsid w:val="00543367"/>
    <w:rsid w:val="00554211"/>
    <w:rsid w:val="00567306"/>
    <w:rsid w:val="005A2C49"/>
    <w:rsid w:val="005E1AE2"/>
    <w:rsid w:val="005F1FE5"/>
    <w:rsid w:val="0061739D"/>
    <w:rsid w:val="006257F1"/>
    <w:rsid w:val="00652D74"/>
    <w:rsid w:val="0069692D"/>
    <w:rsid w:val="006A3850"/>
    <w:rsid w:val="006E43FE"/>
    <w:rsid w:val="006E755E"/>
    <w:rsid w:val="00702F22"/>
    <w:rsid w:val="00710CEF"/>
    <w:rsid w:val="007534B5"/>
    <w:rsid w:val="007859C0"/>
    <w:rsid w:val="0079666A"/>
    <w:rsid w:val="00796DCA"/>
    <w:rsid w:val="007B0E2F"/>
    <w:rsid w:val="007D7642"/>
    <w:rsid w:val="0085153E"/>
    <w:rsid w:val="008750EB"/>
    <w:rsid w:val="0087743B"/>
    <w:rsid w:val="0089321B"/>
    <w:rsid w:val="008A6D5C"/>
    <w:rsid w:val="008B4D54"/>
    <w:rsid w:val="008E3F6B"/>
    <w:rsid w:val="008F48D1"/>
    <w:rsid w:val="00917846"/>
    <w:rsid w:val="00917D56"/>
    <w:rsid w:val="00924CCD"/>
    <w:rsid w:val="00947A1E"/>
    <w:rsid w:val="00952BD5"/>
    <w:rsid w:val="00A114D5"/>
    <w:rsid w:val="00A35A14"/>
    <w:rsid w:val="00A3686D"/>
    <w:rsid w:val="00A40CF3"/>
    <w:rsid w:val="00A421BC"/>
    <w:rsid w:val="00A426A0"/>
    <w:rsid w:val="00A47782"/>
    <w:rsid w:val="00A90ED6"/>
    <w:rsid w:val="00A9159B"/>
    <w:rsid w:val="00AE265C"/>
    <w:rsid w:val="00B011DA"/>
    <w:rsid w:val="00B445EB"/>
    <w:rsid w:val="00B47D1E"/>
    <w:rsid w:val="00BB5BD5"/>
    <w:rsid w:val="00BC1FCE"/>
    <w:rsid w:val="00BD01F2"/>
    <w:rsid w:val="00BD0A57"/>
    <w:rsid w:val="00BE3AAB"/>
    <w:rsid w:val="00BE4C8B"/>
    <w:rsid w:val="00C12675"/>
    <w:rsid w:val="00CA65B6"/>
    <w:rsid w:val="00CD2ADD"/>
    <w:rsid w:val="00D218BB"/>
    <w:rsid w:val="00D2697F"/>
    <w:rsid w:val="00D47FD3"/>
    <w:rsid w:val="00D528BC"/>
    <w:rsid w:val="00D57EA3"/>
    <w:rsid w:val="00D60B05"/>
    <w:rsid w:val="00D65407"/>
    <w:rsid w:val="00D93C07"/>
    <w:rsid w:val="00DB2D39"/>
    <w:rsid w:val="00E0612B"/>
    <w:rsid w:val="00E26B66"/>
    <w:rsid w:val="00E673C7"/>
    <w:rsid w:val="00E7417C"/>
    <w:rsid w:val="00E85595"/>
    <w:rsid w:val="00EA5484"/>
    <w:rsid w:val="00ED3056"/>
    <w:rsid w:val="00EE0175"/>
    <w:rsid w:val="00F503F4"/>
    <w:rsid w:val="00F80647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498AF0D5"/>
  <w15:chartTrackingRefBased/>
  <w15:docId w15:val="{9B234855-B0CA-4177-9270-0E857575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9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9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6173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3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739D"/>
    <w:rPr>
      <w:rFonts w:ascii="Courier" w:eastAsia="Times New Roman" w:hAnsi="Courier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59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1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57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5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595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595"/>
    <w:rPr>
      <w:rFonts w:ascii="Courier" w:eastAsia="Times New Roman" w:hAnsi="Courier" w:cs="Times New Roman"/>
      <w:sz w:val="24"/>
      <w:szCs w:val="20"/>
    </w:rPr>
  </w:style>
  <w:style w:type="paragraph" w:styleId="Revision">
    <w:name w:val="Revision"/>
    <w:hidden/>
    <w:uiPriority w:val="99"/>
    <w:semiHidden/>
    <w:rsid w:val="00FC3C3A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5EB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fp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desonline.nfpa.org/code/eb61ef8f-b559-487b-8499-9f0b11e56c6d/8af238a0-fc31-4074-8d0b-6502e506217a/np_95fa0833-7ca5-11e9-b18c-f700bda2dd08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desonline.nfpa.org/code/eb61ef8f-b559-487b-8499-9f0b11e56c6d/8af238a0-fc31-4074-8d0b-6502e506217a/np_15970ea0-7ca5-11e9-b18c-f700bda2dd08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odesonline.nfpa.org/code/eb61ef8f-b559-487b-8499-9f0b11e56c6d/463bba44-7758-420d-9060-6c7e40d0fd5a/2fad65ee-2541-4b45-82b0-a26d759243c1/np_f006d0b6-7ca4-11e9-b18c-f700bda2dd08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  <SharedWithUsers xmlns="c7d2f26b-8073-4476-9c98-80858cc8e538">
      <UserInfo>
        <DisplayName>Belisle, John</DisplayName>
        <AccountId>242</AccountId>
        <AccountType/>
      </UserInfo>
      <UserInfo>
        <DisplayName>Kaply, Matthew S</DisplayName>
        <AccountId>111</AccountId>
        <AccountType/>
      </UserInfo>
      <UserInfo>
        <DisplayName>Racine, Kristin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D9CD7-2B45-4BB1-911F-90CE4AA55BE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d2f26b-8073-4476-9c98-80858cc8e538"/>
    <ds:schemaRef ds:uri="0c211fce-8eba-4a0a-84a3-1d2c8b1a84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480602-41E4-4F6A-8A06-5667E976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0A34C-850B-4815-B569-1C08F26C3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1300</Words>
  <Characters>7545</Characters>
  <Application>Microsoft Office Word</Application>
  <DocSecurity>0</DocSecurity>
  <Lines>243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Kristin</dc:creator>
  <cp:keywords/>
  <dc:description/>
  <cp:lastModifiedBy>Parr, J.Chris</cp:lastModifiedBy>
  <cp:revision>77</cp:revision>
  <cp:lastPrinted>2021-06-25T17:28:00Z</cp:lastPrinted>
  <dcterms:created xsi:type="dcterms:W3CDTF">2023-08-24T15:59:00Z</dcterms:created>
  <dcterms:modified xsi:type="dcterms:W3CDTF">2024-06-21T16:59:00Z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