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ED" w:rsidRPr="00914EEE" w:rsidRDefault="002650CF" w:rsidP="009F31DF">
      <w:pPr>
        <w:widowControl w:val="0"/>
        <w:ind w:left="1440" w:hanging="144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Chapter </w:t>
      </w:r>
      <w:r w:rsidR="003A2E59" w:rsidRPr="00914EEE">
        <w:rPr>
          <w:b/>
          <w:sz w:val="22"/>
          <w:szCs w:val="22"/>
        </w:rPr>
        <w:t>88</w:t>
      </w:r>
      <w:r w:rsidR="00405040">
        <w:rPr>
          <w:b/>
          <w:sz w:val="22"/>
          <w:szCs w:val="22"/>
        </w:rPr>
        <w:t>9</w:t>
      </w:r>
      <w:r w:rsidRPr="00914EEE">
        <w:rPr>
          <w:b/>
          <w:sz w:val="22"/>
          <w:szCs w:val="22"/>
        </w:rPr>
        <w:t>:</w:t>
      </w:r>
      <w:r w:rsidRPr="00914EEE">
        <w:rPr>
          <w:b/>
          <w:sz w:val="22"/>
          <w:szCs w:val="22"/>
        </w:rPr>
        <w:tab/>
      </w:r>
      <w:r w:rsidRPr="00914EEE">
        <w:rPr>
          <w:b/>
          <w:caps/>
          <w:sz w:val="22"/>
          <w:szCs w:val="22"/>
        </w:rPr>
        <w:t xml:space="preserve">DESIGNATION of </w:t>
      </w:r>
      <w:r w:rsidR="004B77A0">
        <w:rPr>
          <w:b/>
          <w:caps/>
          <w:sz w:val="22"/>
          <w:szCs w:val="22"/>
        </w:rPr>
        <w:t xml:space="preserve">Two </w:t>
      </w:r>
      <w:r w:rsidR="00D37561">
        <w:rPr>
          <w:b/>
          <w:caps/>
          <w:sz w:val="22"/>
          <w:szCs w:val="22"/>
        </w:rPr>
        <w:t>FLAME RETARDANTS</w:t>
      </w:r>
      <w:r w:rsidR="00405040">
        <w:rPr>
          <w:b/>
          <w:caps/>
          <w:sz w:val="22"/>
          <w:szCs w:val="22"/>
        </w:rPr>
        <w:t xml:space="preserve"> </w:t>
      </w:r>
      <w:r w:rsidRPr="00914EEE">
        <w:rPr>
          <w:b/>
          <w:caps/>
          <w:sz w:val="22"/>
          <w:szCs w:val="22"/>
        </w:rPr>
        <w:t>AS PRIORITY CHEMICALS</w:t>
      </w:r>
    </w:p>
    <w:p w:rsidR="00B442ED" w:rsidRPr="00914EEE" w:rsidRDefault="00B442ED" w:rsidP="009F31DF">
      <w:pPr>
        <w:widowControl w:val="0"/>
        <w:ind w:left="1440" w:hanging="1440"/>
        <w:rPr>
          <w:sz w:val="22"/>
          <w:szCs w:val="22"/>
        </w:rPr>
      </w:pPr>
    </w:p>
    <w:p w:rsidR="00B442ED" w:rsidRPr="00914EEE" w:rsidRDefault="002650CF" w:rsidP="009F31DF">
      <w:pPr>
        <w:widowControl w:val="0"/>
        <w:ind w:left="1440"/>
        <w:rPr>
          <w:sz w:val="22"/>
          <w:szCs w:val="22"/>
        </w:rPr>
      </w:pPr>
      <w:r w:rsidRPr="00CE0ED3">
        <w:rPr>
          <w:b/>
          <w:sz w:val="22"/>
          <w:szCs w:val="22"/>
        </w:rPr>
        <w:t>SUMMARY</w:t>
      </w:r>
      <w:r w:rsidRPr="00914EEE">
        <w:rPr>
          <w:sz w:val="22"/>
          <w:szCs w:val="22"/>
        </w:rPr>
        <w:t xml:space="preserve">: This </w:t>
      </w:r>
      <w:r w:rsidR="00C13AFB" w:rsidRPr="00914EEE">
        <w:rPr>
          <w:sz w:val="22"/>
          <w:szCs w:val="22"/>
        </w:rPr>
        <w:t xml:space="preserve">chapter </w:t>
      </w:r>
      <w:r w:rsidRPr="00914EEE">
        <w:rPr>
          <w:sz w:val="22"/>
          <w:szCs w:val="22"/>
        </w:rPr>
        <w:t>designates</w:t>
      </w:r>
      <w:r w:rsidR="003A2E59" w:rsidRPr="00914EEE">
        <w:rPr>
          <w:sz w:val="22"/>
          <w:szCs w:val="22"/>
        </w:rPr>
        <w:t xml:space="preserve"> </w:t>
      </w:r>
      <w:r w:rsidR="004B77A0">
        <w:rPr>
          <w:sz w:val="22"/>
          <w:szCs w:val="22"/>
        </w:rPr>
        <w:t>two</w:t>
      </w:r>
      <w:r w:rsidR="003A2E59" w:rsidRPr="00914EEE">
        <w:rPr>
          <w:sz w:val="22"/>
          <w:szCs w:val="22"/>
        </w:rPr>
        <w:t xml:space="preserve"> </w:t>
      </w:r>
      <w:r w:rsidR="004C2E5D">
        <w:rPr>
          <w:sz w:val="22"/>
          <w:szCs w:val="22"/>
        </w:rPr>
        <w:t xml:space="preserve">similarly used </w:t>
      </w:r>
      <w:r w:rsidR="00405040">
        <w:rPr>
          <w:sz w:val="22"/>
          <w:szCs w:val="22"/>
        </w:rPr>
        <w:t>chemicals of high concern</w:t>
      </w:r>
      <w:r w:rsidRPr="00914EEE">
        <w:rPr>
          <w:sz w:val="22"/>
          <w:szCs w:val="22"/>
        </w:rPr>
        <w:t xml:space="preserve"> as priority chemicals and requires reporting for certain</w:t>
      </w:r>
      <w:r w:rsidR="00F67740" w:rsidRPr="00914EEE">
        <w:rPr>
          <w:sz w:val="22"/>
          <w:szCs w:val="22"/>
        </w:rPr>
        <w:t xml:space="preserve"> children’s</w:t>
      </w:r>
      <w:r w:rsidRPr="00914EEE">
        <w:rPr>
          <w:sz w:val="22"/>
          <w:szCs w:val="22"/>
        </w:rPr>
        <w:t xml:space="preserve"> product</w:t>
      </w:r>
      <w:r w:rsidR="00E01AA5" w:rsidRPr="00914EEE">
        <w:rPr>
          <w:sz w:val="22"/>
          <w:szCs w:val="22"/>
        </w:rPr>
        <w:t>s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that contain </w:t>
      </w:r>
      <w:r w:rsidR="006E45AA" w:rsidRPr="00914EEE">
        <w:rPr>
          <w:sz w:val="22"/>
          <w:szCs w:val="22"/>
        </w:rPr>
        <w:t xml:space="preserve">one </w:t>
      </w:r>
      <w:r w:rsidR="00827B7F" w:rsidRPr="00914EEE">
        <w:rPr>
          <w:sz w:val="22"/>
          <w:szCs w:val="22"/>
        </w:rPr>
        <w:t xml:space="preserve">or more </w:t>
      </w:r>
      <w:r w:rsidR="006E45AA" w:rsidRPr="00914EEE">
        <w:rPr>
          <w:sz w:val="22"/>
          <w:szCs w:val="22"/>
        </w:rPr>
        <w:t>of these</w:t>
      </w:r>
      <w:r w:rsidR="005E69D3" w:rsidRPr="00914EEE">
        <w:rPr>
          <w:sz w:val="22"/>
          <w:szCs w:val="22"/>
        </w:rPr>
        <w:t xml:space="preserve"> regulated </w:t>
      </w:r>
      <w:r w:rsidR="00405040">
        <w:rPr>
          <w:sz w:val="22"/>
          <w:szCs w:val="22"/>
        </w:rPr>
        <w:t>chemicals</w:t>
      </w:r>
      <w:r w:rsidRPr="00914EEE">
        <w:rPr>
          <w:sz w:val="22"/>
          <w:szCs w:val="22"/>
        </w:rPr>
        <w:t>.</w:t>
      </w:r>
    </w:p>
    <w:p w:rsidR="00CE0ED3" w:rsidRDefault="00CE0ED3" w:rsidP="005A1A11">
      <w:pPr>
        <w:widowControl w:val="0"/>
        <w:rPr>
          <w:sz w:val="22"/>
          <w:szCs w:val="22"/>
        </w:rPr>
      </w:pPr>
    </w:p>
    <w:p w:rsidR="00FD452E" w:rsidRDefault="00FD452E" w:rsidP="005A1A11">
      <w:pPr>
        <w:widowControl w:val="0"/>
        <w:rPr>
          <w:sz w:val="22"/>
          <w:szCs w:val="22"/>
        </w:rPr>
      </w:pPr>
    </w:p>
    <w:p w:rsidR="003626E6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1.</w:t>
      </w:r>
      <w:r w:rsidRPr="00914EEE">
        <w:rPr>
          <w:b/>
          <w:sz w:val="22"/>
          <w:szCs w:val="22"/>
        </w:rPr>
        <w:tab/>
        <w:t>Applicability</w:t>
      </w:r>
    </w:p>
    <w:p w:rsidR="00CE0ED3" w:rsidRDefault="00CE0ED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B442ED" w:rsidRPr="00914EEE" w:rsidRDefault="003626E6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b/>
          <w:sz w:val="22"/>
          <w:szCs w:val="22"/>
        </w:rPr>
        <w:t>A.</w:t>
      </w:r>
      <w:r w:rsidRPr="00914EEE">
        <w:rPr>
          <w:sz w:val="22"/>
          <w:szCs w:val="22"/>
        </w:rPr>
        <w:tab/>
      </w:r>
      <w:r w:rsidR="002650CF" w:rsidRPr="00914EEE">
        <w:rPr>
          <w:sz w:val="22"/>
          <w:szCs w:val="22"/>
        </w:rPr>
        <w:t xml:space="preserve">This chapter applies to manufacturers </w:t>
      </w:r>
      <w:r w:rsidRPr="00914EEE">
        <w:rPr>
          <w:sz w:val="22"/>
          <w:szCs w:val="22"/>
        </w:rPr>
        <w:t xml:space="preserve">or distributors </w:t>
      </w:r>
      <w:r w:rsidR="002650CF" w:rsidRPr="00914EEE">
        <w:rPr>
          <w:sz w:val="22"/>
          <w:szCs w:val="22"/>
        </w:rPr>
        <w:t xml:space="preserve">of </w:t>
      </w:r>
      <w:r w:rsidR="00A80C8D" w:rsidRPr="00914EEE">
        <w:rPr>
          <w:sz w:val="22"/>
          <w:szCs w:val="22"/>
        </w:rPr>
        <w:t>certain</w:t>
      </w:r>
      <w:r w:rsidR="00F67740" w:rsidRPr="00914EEE">
        <w:rPr>
          <w:sz w:val="22"/>
          <w:szCs w:val="22"/>
        </w:rPr>
        <w:t xml:space="preserve"> </w:t>
      </w:r>
      <w:r w:rsidR="002650CF" w:rsidRPr="00914EEE">
        <w:rPr>
          <w:sz w:val="22"/>
          <w:szCs w:val="22"/>
        </w:rPr>
        <w:t>children’s pr</w:t>
      </w:r>
      <w:r w:rsidR="00C32E5D" w:rsidRPr="00914EEE">
        <w:rPr>
          <w:sz w:val="22"/>
          <w:szCs w:val="22"/>
        </w:rPr>
        <w:t xml:space="preserve">oducts </w:t>
      </w:r>
      <w:r w:rsidR="00F66902">
        <w:rPr>
          <w:sz w:val="22"/>
          <w:szCs w:val="22"/>
        </w:rPr>
        <w:t>that are for sale in the State of Maine and contain</w:t>
      </w:r>
      <w:r w:rsidR="00C32E5D" w:rsidRPr="00914EEE">
        <w:rPr>
          <w:sz w:val="22"/>
          <w:szCs w:val="22"/>
        </w:rPr>
        <w:t xml:space="preserve"> intentionally </w:t>
      </w:r>
      <w:r w:rsidR="00405040">
        <w:rPr>
          <w:sz w:val="22"/>
          <w:szCs w:val="22"/>
        </w:rPr>
        <w:t xml:space="preserve">added </w:t>
      </w:r>
      <w:r w:rsidR="00D24DD0">
        <w:rPr>
          <w:sz w:val="22"/>
          <w:szCs w:val="22"/>
        </w:rPr>
        <w:t>amounts of</w:t>
      </w:r>
      <w:r w:rsidR="00405040">
        <w:rPr>
          <w:sz w:val="22"/>
          <w:szCs w:val="22"/>
        </w:rPr>
        <w:t xml:space="preserve"> decabromodiphen</w:t>
      </w:r>
      <w:r w:rsidR="007A6074">
        <w:rPr>
          <w:sz w:val="22"/>
          <w:szCs w:val="22"/>
        </w:rPr>
        <w:t>y</w:t>
      </w:r>
      <w:r w:rsidR="00F87194">
        <w:rPr>
          <w:sz w:val="22"/>
          <w:szCs w:val="22"/>
        </w:rPr>
        <w:t>l ether (</w:t>
      </w:r>
      <w:proofErr w:type="spellStart"/>
      <w:r w:rsidR="00F87194">
        <w:rPr>
          <w:sz w:val="22"/>
          <w:szCs w:val="22"/>
        </w:rPr>
        <w:t>deca</w:t>
      </w:r>
      <w:proofErr w:type="spellEnd"/>
      <w:r w:rsidR="00F87194">
        <w:rPr>
          <w:sz w:val="22"/>
          <w:szCs w:val="22"/>
        </w:rPr>
        <w:t xml:space="preserve"> BDE)</w:t>
      </w:r>
      <w:r w:rsidR="00D24DD0">
        <w:rPr>
          <w:sz w:val="22"/>
          <w:szCs w:val="22"/>
        </w:rPr>
        <w:t xml:space="preserve"> and/or</w:t>
      </w:r>
      <w:r w:rsidR="00405040">
        <w:rPr>
          <w:sz w:val="22"/>
          <w:szCs w:val="22"/>
        </w:rPr>
        <w:t xml:space="preserve"> </w:t>
      </w:r>
      <w:proofErr w:type="spellStart"/>
      <w:r w:rsidR="00405040">
        <w:rPr>
          <w:sz w:val="22"/>
          <w:szCs w:val="22"/>
        </w:rPr>
        <w:t>hexabromocy</w:t>
      </w:r>
      <w:r w:rsidR="00C44C30">
        <w:rPr>
          <w:sz w:val="22"/>
          <w:szCs w:val="22"/>
        </w:rPr>
        <w:t>c</w:t>
      </w:r>
      <w:r w:rsidR="00405040">
        <w:rPr>
          <w:sz w:val="22"/>
          <w:szCs w:val="22"/>
        </w:rPr>
        <w:t>lododecane</w:t>
      </w:r>
      <w:proofErr w:type="spellEnd"/>
      <w:r w:rsidR="00405040">
        <w:rPr>
          <w:sz w:val="22"/>
          <w:szCs w:val="22"/>
        </w:rPr>
        <w:t xml:space="preserve"> (HBCD), </w:t>
      </w:r>
      <w:r w:rsidR="003F2B27">
        <w:rPr>
          <w:sz w:val="22"/>
          <w:szCs w:val="22"/>
        </w:rPr>
        <w:t xml:space="preserve">which are </w:t>
      </w:r>
      <w:r w:rsidR="00405040">
        <w:rPr>
          <w:sz w:val="22"/>
          <w:szCs w:val="22"/>
        </w:rPr>
        <w:t>used in th</w:t>
      </w:r>
      <w:r w:rsidR="00F66902">
        <w:rPr>
          <w:sz w:val="22"/>
          <w:szCs w:val="22"/>
        </w:rPr>
        <w:t>e non-polymeric, additive form</w:t>
      </w:r>
      <w:r w:rsidR="002650CF" w:rsidRPr="00914EEE">
        <w:rPr>
          <w:sz w:val="22"/>
          <w:szCs w:val="22"/>
        </w:rPr>
        <w:t>.</w:t>
      </w: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 w:rsidRPr="00914EEE">
        <w:rPr>
          <w:sz w:val="22"/>
          <w:szCs w:val="22"/>
        </w:rPr>
        <w:tab/>
      </w:r>
      <w:r w:rsidR="00FD452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>Exemptions</w:t>
      </w: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sz w:val="22"/>
          <w:szCs w:val="22"/>
        </w:rPr>
        <w:tab/>
        <w:t>(1)</w:t>
      </w:r>
      <w:r w:rsidR="00CE0ED3">
        <w:rPr>
          <w:sz w:val="22"/>
          <w:szCs w:val="22"/>
        </w:rPr>
        <w:tab/>
      </w:r>
      <w:r w:rsidRPr="00924E83">
        <w:rPr>
          <w:b/>
          <w:sz w:val="22"/>
          <w:szCs w:val="22"/>
        </w:rPr>
        <w:t>Used products</w:t>
      </w:r>
      <w:r w:rsidRPr="00E0679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This chapter does not apply</w:t>
      </w:r>
      <w:r w:rsidR="00AF184F" w:rsidRPr="00914EEE">
        <w:rPr>
          <w:sz w:val="22"/>
          <w:szCs w:val="22"/>
        </w:rPr>
        <w:t xml:space="preserve"> to</w:t>
      </w:r>
      <w:r w:rsidR="001C0561" w:rsidRPr="00914EEE">
        <w:rPr>
          <w:sz w:val="22"/>
          <w:szCs w:val="22"/>
        </w:rPr>
        <w:t xml:space="preserve"> </w:t>
      </w:r>
      <w:r w:rsidR="00100555">
        <w:rPr>
          <w:sz w:val="22"/>
          <w:szCs w:val="22"/>
        </w:rPr>
        <w:t>R</w:t>
      </w:r>
      <w:r w:rsidR="001C0561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etardants</w:t>
      </w:r>
      <w:r w:rsidR="001C0561" w:rsidRPr="00914EEE">
        <w:rPr>
          <w:sz w:val="22"/>
          <w:szCs w:val="22"/>
        </w:rPr>
        <w:t xml:space="preserve"> in</w:t>
      </w:r>
      <w:r w:rsidRPr="00914EEE">
        <w:rPr>
          <w:sz w:val="22"/>
          <w:szCs w:val="22"/>
        </w:rPr>
        <w:t xml:space="preserve"> used products. </w:t>
      </w: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sz w:val="22"/>
          <w:szCs w:val="22"/>
        </w:rPr>
        <w:tab/>
      </w:r>
      <w:r w:rsidR="00CE0ED3">
        <w:rPr>
          <w:sz w:val="22"/>
          <w:szCs w:val="22"/>
        </w:rPr>
        <w:t>(2)</w:t>
      </w:r>
      <w:r w:rsidR="00CE0ED3">
        <w:rPr>
          <w:sz w:val="22"/>
          <w:szCs w:val="22"/>
        </w:rPr>
        <w:tab/>
      </w:r>
      <w:r w:rsidRPr="00924E83">
        <w:rPr>
          <w:b/>
          <w:sz w:val="22"/>
          <w:szCs w:val="22"/>
        </w:rPr>
        <w:t>Food and beverage packaging</w:t>
      </w:r>
      <w:r w:rsidRPr="00E0679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A container or packaging for a food or beverage product is exempt from the requirements of this chapter, unless that product is intentionally marketed or intended for </w:t>
      </w:r>
      <w:r w:rsidR="007766E5" w:rsidRPr="00914EEE">
        <w:rPr>
          <w:sz w:val="22"/>
          <w:szCs w:val="22"/>
        </w:rPr>
        <w:t xml:space="preserve">use by </w:t>
      </w:r>
      <w:r w:rsidRPr="00914EEE">
        <w:rPr>
          <w:sz w:val="22"/>
          <w:szCs w:val="22"/>
        </w:rPr>
        <w:t xml:space="preserve">children under </w:t>
      </w:r>
      <w:r w:rsidR="004B77A0">
        <w:rPr>
          <w:sz w:val="22"/>
          <w:szCs w:val="22"/>
        </w:rPr>
        <w:t>two</w:t>
      </w:r>
      <w:r w:rsidRPr="00914EEE">
        <w:rPr>
          <w:sz w:val="22"/>
          <w:szCs w:val="22"/>
        </w:rPr>
        <w:t xml:space="preserve"> years of age. </w:t>
      </w:r>
    </w:p>
    <w:p w:rsidR="00C33F9A" w:rsidRPr="00914EEE" w:rsidRDefault="00C33F9A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C33F9A" w:rsidRPr="00914EEE" w:rsidRDefault="00C33F9A" w:rsidP="00D332A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180" w:hanging="360"/>
        <w:rPr>
          <w:sz w:val="22"/>
          <w:szCs w:val="22"/>
        </w:rPr>
      </w:pPr>
      <w:r w:rsidRPr="00914EEE">
        <w:rPr>
          <w:sz w:val="22"/>
          <w:szCs w:val="22"/>
        </w:rPr>
        <w:t>(3)</w:t>
      </w:r>
      <w:r w:rsidR="00924E83">
        <w:rPr>
          <w:sz w:val="22"/>
          <w:szCs w:val="22"/>
        </w:rPr>
        <w:tab/>
      </w:r>
      <w:r w:rsidRPr="00924E83">
        <w:rPr>
          <w:b/>
          <w:sz w:val="22"/>
          <w:szCs w:val="22"/>
        </w:rPr>
        <w:t>Transportation</w:t>
      </w:r>
      <w:r w:rsidRPr="00914EE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="005D5554" w:rsidRPr="00914EEE">
        <w:rPr>
          <w:sz w:val="22"/>
          <w:szCs w:val="22"/>
        </w:rPr>
        <w:t xml:space="preserve">The requirements of this chapter do not apply to motor vehicles as </w:t>
      </w:r>
      <w:r w:rsidR="001C0561" w:rsidRPr="00914EEE">
        <w:rPr>
          <w:sz w:val="22"/>
          <w:szCs w:val="22"/>
        </w:rPr>
        <w:t>defined</w:t>
      </w:r>
      <w:r w:rsidR="00CE0ED3">
        <w:rPr>
          <w:sz w:val="22"/>
          <w:szCs w:val="22"/>
        </w:rPr>
        <w:t xml:space="preserve"> </w:t>
      </w:r>
      <w:r w:rsidR="00D311F9" w:rsidRPr="00914EEE">
        <w:rPr>
          <w:sz w:val="22"/>
          <w:szCs w:val="22"/>
        </w:rPr>
        <w:t xml:space="preserve">in </w:t>
      </w:r>
      <w:r w:rsidR="001C0561" w:rsidRPr="00914EEE">
        <w:rPr>
          <w:sz w:val="22"/>
          <w:szCs w:val="22"/>
        </w:rPr>
        <w:t xml:space="preserve">29-A M.R.S. </w:t>
      </w:r>
      <w:r w:rsidR="00CE0ED3">
        <w:rPr>
          <w:sz w:val="22"/>
          <w:szCs w:val="22"/>
        </w:rPr>
        <w:t>§</w:t>
      </w:r>
      <w:r w:rsidR="001C0561" w:rsidRPr="00914EEE">
        <w:rPr>
          <w:sz w:val="22"/>
          <w:szCs w:val="22"/>
        </w:rPr>
        <w:t>101(</w:t>
      </w:r>
      <w:r w:rsidR="005D5554" w:rsidRPr="00914EEE">
        <w:rPr>
          <w:sz w:val="22"/>
          <w:szCs w:val="22"/>
        </w:rPr>
        <w:t>42</w:t>
      </w:r>
      <w:r w:rsidR="001C0561" w:rsidRPr="00914EEE">
        <w:rPr>
          <w:sz w:val="22"/>
          <w:szCs w:val="22"/>
        </w:rPr>
        <w:t>)</w:t>
      </w:r>
      <w:r w:rsidR="005D5554" w:rsidRPr="00914EEE">
        <w:rPr>
          <w:sz w:val="22"/>
          <w:szCs w:val="22"/>
        </w:rPr>
        <w:t xml:space="preserve"> or</w:t>
      </w:r>
      <w:r w:rsidR="001C0561" w:rsidRPr="00914EEE">
        <w:rPr>
          <w:sz w:val="22"/>
          <w:szCs w:val="22"/>
        </w:rPr>
        <w:t xml:space="preserve"> watercraft as defined in 12 M.R.S. </w:t>
      </w:r>
      <w:r w:rsidR="00CE0ED3">
        <w:rPr>
          <w:sz w:val="22"/>
          <w:szCs w:val="22"/>
        </w:rPr>
        <w:t>§</w:t>
      </w:r>
      <w:r w:rsidR="005D5554" w:rsidRPr="00914EEE">
        <w:rPr>
          <w:sz w:val="22"/>
          <w:szCs w:val="22"/>
        </w:rPr>
        <w:t>13001</w:t>
      </w:r>
      <w:r w:rsidR="001C0561" w:rsidRPr="00914EEE">
        <w:rPr>
          <w:sz w:val="22"/>
          <w:szCs w:val="22"/>
        </w:rPr>
        <w:t>(</w:t>
      </w:r>
      <w:r w:rsidR="005D5554" w:rsidRPr="00914EEE">
        <w:rPr>
          <w:sz w:val="22"/>
          <w:szCs w:val="22"/>
        </w:rPr>
        <w:t>28</w:t>
      </w:r>
      <w:r w:rsidR="001C0561" w:rsidRPr="00914EEE">
        <w:rPr>
          <w:sz w:val="22"/>
          <w:szCs w:val="22"/>
        </w:rPr>
        <w:t>)</w:t>
      </w:r>
      <w:r w:rsidR="005D5554" w:rsidRPr="00914EEE">
        <w:rPr>
          <w:sz w:val="22"/>
          <w:szCs w:val="22"/>
        </w:rPr>
        <w:t xml:space="preserve"> or their</w:t>
      </w:r>
      <w:r w:rsidR="00CE0ED3">
        <w:rPr>
          <w:sz w:val="22"/>
          <w:szCs w:val="22"/>
        </w:rPr>
        <w:t xml:space="preserve"> </w:t>
      </w:r>
      <w:r w:rsidR="005D5554" w:rsidRPr="00914EEE">
        <w:rPr>
          <w:sz w:val="22"/>
          <w:szCs w:val="22"/>
        </w:rPr>
        <w:t xml:space="preserve">component parts, except that the use of </w:t>
      </w:r>
      <w:r w:rsidR="00100555">
        <w:rPr>
          <w:sz w:val="22"/>
          <w:szCs w:val="22"/>
        </w:rPr>
        <w:t>R</w:t>
      </w:r>
      <w:r w:rsidR="00FE37EF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etardants</w:t>
      </w:r>
      <w:r w:rsidR="005D5554" w:rsidRPr="00914EEE">
        <w:rPr>
          <w:sz w:val="22"/>
          <w:szCs w:val="22"/>
        </w:rPr>
        <w:t xml:space="preserve"> in detachable car seats is not exempt.</w:t>
      </w:r>
      <w:r w:rsidRPr="00914EEE">
        <w:rPr>
          <w:sz w:val="22"/>
          <w:szCs w:val="22"/>
        </w:rPr>
        <w:t xml:space="preserve"> </w:t>
      </w:r>
    </w:p>
    <w:p w:rsidR="00B442ED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924E83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2.</w:t>
      </w:r>
      <w:r w:rsidRPr="00914EEE">
        <w:rPr>
          <w:b/>
          <w:sz w:val="22"/>
          <w:szCs w:val="22"/>
        </w:rPr>
        <w:tab/>
        <w:t xml:space="preserve">Definitions. </w:t>
      </w:r>
      <w:r w:rsidR="00E0679E">
        <w:rPr>
          <w:sz w:val="22"/>
          <w:szCs w:val="22"/>
        </w:rPr>
        <w:t>For terms not defined in this</w:t>
      </w:r>
      <w:r w:rsidR="00A5448A" w:rsidRPr="00914EEE">
        <w:rPr>
          <w:sz w:val="22"/>
          <w:szCs w:val="22"/>
        </w:rPr>
        <w:t xml:space="preserve"> chapter</w:t>
      </w:r>
      <w:r w:rsidRPr="00914EEE">
        <w:rPr>
          <w:sz w:val="22"/>
          <w:szCs w:val="22"/>
        </w:rPr>
        <w:t>, the definitions found in</w:t>
      </w:r>
      <w:r w:rsidR="002F2838" w:rsidRPr="00914EEE">
        <w:rPr>
          <w:sz w:val="22"/>
          <w:szCs w:val="22"/>
        </w:rPr>
        <w:t xml:space="preserve"> </w:t>
      </w:r>
      <w:r w:rsidR="002F2838" w:rsidRPr="00914EEE">
        <w:rPr>
          <w:i/>
          <w:sz w:val="22"/>
          <w:szCs w:val="22"/>
        </w:rPr>
        <w:t>Regulation of Chemical Use in Children’s Products,</w:t>
      </w:r>
      <w:r w:rsidR="00CE0ED3">
        <w:rPr>
          <w:i/>
          <w:sz w:val="22"/>
          <w:szCs w:val="22"/>
        </w:rPr>
        <w:t xml:space="preserve"> </w:t>
      </w:r>
      <w:r w:rsidRPr="00914EEE">
        <w:rPr>
          <w:sz w:val="22"/>
          <w:szCs w:val="22"/>
        </w:rPr>
        <w:t>06-096 C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 xml:space="preserve">ch. </w:t>
      </w:r>
      <w:r w:rsidRPr="00914EEE">
        <w:rPr>
          <w:sz w:val="22"/>
          <w:szCs w:val="22"/>
        </w:rPr>
        <w:t>880</w:t>
      </w:r>
      <w:r w:rsidR="00D311F9"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 xml:space="preserve"> apply. The following terms, as used in this </w:t>
      </w:r>
      <w:r w:rsidR="00A5448A" w:rsidRPr="00914EEE">
        <w:rPr>
          <w:sz w:val="22"/>
          <w:szCs w:val="22"/>
        </w:rPr>
        <w:t>chapter</w:t>
      </w:r>
      <w:r w:rsidRPr="00914EEE">
        <w:rPr>
          <w:sz w:val="22"/>
          <w:szCs w:val="22"/>
        </w:rPr>
        <w:t>, have the following meanings:</w:t>
      </w:r>
    </w:p>
    <w:p w:rsidR="00B22D38" w:rsidRPr="00B22D38" w:rsidRDefault="00B22D38" w:rsidP="00B22D38">
      <w:pPr>
        <w:pStyle w:val="ListParagraph"/>
        <w:rPr>
          <w:b/>
          <w:sz w:val="22"/>
          <w:szCs w:val="22"/>
        </w:rPr>
      </w:pPr>
    </w:p>
    <w:p w:rsidR="00B22D38" w:rsidRDefault="00B22D38" w:rsidP="00FD452E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36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Child </w:t>
      </w:r>
      <w:r w:rsidR="005C5317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are </w:t>
      </w:r>
      <w:r w:rsidR="005C5317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rticle.</w:t>
      </w:r>
      <w:proofErr w:type="gramEnd"/>
      <w:r w:rsidR="00FD452E">
        <w:rPr>
          <w:b/>
          <w:sz w:val="22"/>
          <w:szCs w:val="22"/>
        </w:rPr>
        <w:t xml:space="preserve"> </w:t>
      </w:r>
      <w:r w:rsidR="003F2B27" w:rsidRPr="003F2B27">
        <w:rPr>
          <w:sz w:val="22"/>
          <w:szCs w:val="22"/>
        </w:rPr>
        <w:t xml:space="preserve">“Child </w:t>
      </w:r>
      <w:r w:rsidR="005C5317">
        <w:rPr>
          <w:sz w:val="22"/>
          <w:szCs w:val="22"/>
        </w:rPr>
        <w:t>C</w:t>
      </w:r>
      <w:r w:rsidR="003F2B27" w:rsidRPr="003F2B27">
        <w:rPr>
          <w:sz w:val="22"/>
          <w:szCs w:val="22"/>
        </w:rPr>
        <w:t xml:space="preserve">are </w:t>
      </w:r>
      <w:r w:rsidR="005C5317">
        <w:rPr>
          <w:sz w:val="22"/>
          <w:szCs w:val="22"/>
        </w:rPr>
        <w:t>A</w:t>
      </w:r>
      <w:r w:rsidR="003F2B27" w:rsidRPr="003F2B27">
        <w:rPr>
          <w:sz w:val="22"/>
          <w:szCs w:val="22"/>
        </w:rPr>
        <w:t>rticle” means a children’s product designed or intended by the manufacturer to facilitate sleep or the feeding of children or to help children with sucking or teething.</w:t>
      </w:r>
    </w:p>
    <w:p w:rsidR="00030C41" w:rsidRPr="003F2B27" w:rsidRDefault="00030C41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b/>
          <w:sz w:val="22"/>
          <w:szCs w:val="22"/>
        </w:rPr>
      </w:pPr>
    </w:p>
    <w:p w:rsidR="00030C41" w:rsidRPr="003E5434" w:rsidRDefault="00030C41" w:rsidP="00030C41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Children’s </w:t>
      </w:r>
      <w:r w:rsidRPr="00914EEE">
        <w:rPr>
          <w:b/>
          <w:sz w:val="22"/>
          <w:szCs w:val="22"/>
        </w:rPr>
        <w:t xml:space="preserve">Clothing. </w:t>
      </w:r>
      <w:r w:rsidRPr="00914EEE">
        <w:rPr>
          <w:sz w:val="22"/>
          <w:szCs w:val="22"/>
        </w:rPr>
        <w:t>“</w:t>
      </w:r>
      <w:r>
        <w:rPr>
          <w:sz w:val="22"/>
          <w:szCs w:val="22"/>
        </w:rPr>
        <w:t xml:space="preserve">Children’s </w:t>
      </w:r>
      <w:r w:rsidRPr="00914EEE">
        <w:rPr>
          <w:sz w:val="22"/>
          <w:szCs w:val="22"/>
        </w:rPr>
        <w:t xml:space="preserve">Clothing” means an article of cloth or fiber, woven or otherwise assembled, into a material suitable for wearing on the body of a child under the age of 12 years, and their component parts; examples include </w:t>
      </w:r>
      <w:r w:rsidR="00C52A6C">
        <w:rPr>
          <w:sz w:val="22"/>
          <w:szCs w:val="22"/>
        </w:rPr>
        <w:t xml:space="preserve">but are not limited to </w:t>
      </w:r>
      <w:r w:rsidRPr="00914EEE">
        <w:rPr>
          <w:sz w:val="22"/>
          <w:szCs w:val="22"/>
        </w:rPr>
        <w:t>pants, shirts, and outerwear such as gloves,</w:t>
      </w:r>
      <w:r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hats, or raingear. </w:t>
      </w:r>
    </w:p>
    <w:p w:rsidR="00030C41" w:rsidRPr="003E5434" w:rsidRDefault="00030C41" w:rsidP="00030C41">
      <w:pPr>
        <w:pStyle w:val="ListParagraph"/>
        <w:rPr>
          <w:sz w:val="22"/>
          <w:szCs w:val="22"/>
        </w:rPr>
      </w:pPr>
    </w:p>
    <w:p w:rsidR="00030C41" w:rsidRPr="003E5434" w:rsidRDefault="00030C41" w:rsidP="00030C41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Children’s Footwear. </w:t>
      </w:r>
      <w:r w:rsidRPr="00914EEE">
        <w:rPr>
          <w:sz w:val="22"/>
          <w:szCs w:val="22"/>
        </w:rPr>
        <w:t>“</w:t>
      </w:r>
      <w:r>
        <w:rPr>
          <w:sz w:val="22"/>
          <w:szCs w:val="22"/>
        </w:rPr>
        <w:t xml:space="preserve">Children’s </w:t>
      </w:r>
      <w:r w:rsidRPr="00914EEE">
        <w:rPr>
          <w:sz w:val="22"/>
          <w:szCs w:val="22"/>
        </w:rPr>
        <w:t>Footwear” means an article intended to be worn on the feet of a child under the age of 12 years, such as shoes or slippers.</w:t>
      </w:r>
    </w:p>
    <w:p w:rsidR="003F2B27" w:rsidRPr="003F2B27" w:rsidRDefault="003F2B27" w:rsidP="003F2B27">
      <w:pPr>
        <w:pStyle w:val="ListParagraph"/>
        <w:rPr>
          <w:b/>
          <w:sz w:val="22"/>
          <w:szCs w:val="22"/>
        </w:rPr>
      </w:pPr>
    </w:p>
    <w:p w:rsidR="003F2B27" w:rsidRDefault="003F2B27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sz w:val="22"/>
          <w:szCs w:val="22"/>
        </w:rPr>
      </w:pPr>
      <w:r>
        <w:rPr>
          <w:b/>
          <w:sz w:val="22"/>
          <w:szCs w:val="22"/>
        </w:rPr>
        <w:t xml:space="preserve">Children’s </w:t>
      </w:r>
      <w:r w:rsidR="005C531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leepwear.</w:t>
      </w:r>
      <w:r w:rsidR="00FD452E">
        <w:rPr>
          <w:b/>
          <w:sz w:val="22"/>
          <w:szCs w:val="22"/>
        </w:rPr>
        <w:t xml:space="preserve"> </w:t>
      </w:r>
      <w:r w:rsidRPr="002A64C5">
        <w:rPr>
          <w:sz w:val="22"/>
          <w:szCs w:val="22"/>
        </w:rPr>
        <w:t xml:space="preserve">“Children’s </w:t>
      </w:r>
      <w:r w:rsidR="005C5317">
        <w:rPr>
          <w:sz w:val="22"/>
          <w:szCs w:val="22"/>
        </w:rPr>
        <w:t>S</w:t>
      </w:r>
      <w:r w:rsidRPr="002A64C5">
        <w:rPr>
          <w:sz w:val="22"/>
          <w:szCs w:val="22"/>
        </w:rPr>
        <w:t>leepwear” means</w:t>
      </w:r>
      <w:r w:rsidR="002A64C5" w:rsidRPr="002A64C5">
        <w:rPr>
          <w:sz w:val="22"/>
          <w:szCs w:val="22"/>
        </w:rPr>
        <w:t xml:space="preserve"> any product of wearing apparel (in sizes 0</w:t>
      </w:r>
      <w:r w:rsidR="00FD452E">
        <w:rPr>
          <w:sz w:val="22"/>
          <w:szCs w:val="22"/>
        </w:rPr>
        <w:noBreakHyphen/>
      </w:r>
      <w:r w:rsidR="002A64C5" w:rsidRPr="002A64C5">
        <w:rPr>
          <w:sz w:val="22"/>
          <w:szCs w:val="22"/>
        </w:rPr>
        <w:t>14), such as nightgowns, pajamas, or similarly related items, such as robes, intended</w:t>
      </w:r>
      <w:r w:rsidR="002A64C5">
        <w:rPr>
          <w:sz w:val="22"/>
          <w:szCs w:val="22"/>
        </w:rPr>
        <w:t xml:space="preserve"> to be worn primaril</w:t>
      </w:r>
      <w:r w:rsidR="002A64C5" w:rsidRPr="002A64C5">
        <w:rPr>
          <w:sz w:val="22"/>
          <w:szCs w:val="22"/>
        </w:rPr>
        <w:t>y for sleeping or activities related to sleeping.</w:t>
      </w:r>
    </w:p>
    <w:p w:rsidR="00390F9C" w:rsidRPr="00390F9C" w:rsidRDefault="00390F9C" w:rsidP="00390F9C">
      <w:pPr>
        <w:pStyle w:val="ListParagraph"/>
        <w:rPr>
          <w:sz w:val="22"/>
          <w:szCs w:val="22"/>
        </w:rPr>
      </w:pPr>
    </w:p>
    <w:p w:rsidR="00390F9C" w:rsidRPr="00390F9C" w:rsidRDefault="00390F9C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Children’s </w:t>
      </w:r>
      <w:r w:rsidR="005C531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oy.</w:t>
      </w:r>
      <w:r w:rsidR="00FD452E">
        <w:rPr>
          <w:b/>
          <w:sz w:val="22"/>
          <w:szCs w:val="22"/>
        </w:rPr>
        <w:t xml:space="preserve"> </w:t>
      </w:r>
      <w:r w:rsidRPr="003F2B27">
        <w:rPr>
          <w:sz w:val="22"/>
          <w:szCs w:val="22"/>
        </w:rPr>
        <w:t xml:space="preserve">“Children’s </w:t>
      </w:r>
      <w:r w:rsidR="005C5317">
        <w:rPr>
          <w:sz w:val="22"/>
          <w:szCs w:val="22"/>
        </w:rPr>
        <w:t>T</w:t>
      </w:r>
      <w:r w:rsidRPr="003F2B27">
        <w:rPr>
          <w:sz w:val="22"/>
          <w:szCs w:val="22"/>
        </w:rPr>
        <w:t xml:space="preserve">oy” means a </w:t>
      </w:r>
      <w:r>
        <w:rPr>
          <w:sz w:val="22"/>
          <w:szCs w:val="22"/>
        </w:rPr>
        <w:t>children’s</w:t>
      </w:r>
      <w:r w:rsidRPr="003F2B27">
        <w:rPr>
          <w:sz w:val="22"/>
          <w:szCs w:val="22"/>
        </w:rPr>
        <w:t xml:space="preserve"> product designed or intended by the manufacturer for a child under the age of 12 years for use by the child when the child plays. “</w:t>
      </w:r>
      <w:r w:rsidR="005C5317">
        <w:rPr>
          <w:sz w:val="22"/>
          <w:szCs w:val="22"/>
        </w:rPr>
        <w:t xml:space="preserve">Children’s </w:t>
      </w:r>
      <w:r w:rsidRPr="003F2B27">
        <w:rPr>
          <w:sz w:val="22"/>
          <w:szCs w:val="22"/>
        </w:rPr>
        <w:t xml:space="preserve">Toy” does not include helmets, googles or other personal protective equipment designed to protect the wearer’s body from injury during sports and recreation activities. </w:t>
      </w:r>
    </w:p>
    <w:p w:rsidR="00FD452E" w:rsidRDefault="00FD452E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DC68F3" w:rsidRDefault="00DC68F3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Electronic </w:t>
      </w:r>
      <w:r w:rsidR="005C5317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evice.</w:t>
      </w:r>
      <w:proofErr w:type="gramEnd"/>
      <w:r w:rsidR="00FD452E">
        <w:rPr>
          <w:b/>
          <w:sz w:val="22"/>
          <w:szCs w:val="22"/>
        </w:rPr>
        <w:t xml:space="preserve"> </w:t>
      </w:r>
      <w:r w:rsidRPr="009371A5">
        <w:rPr>
          <w:sz w:val="22"/>
          <w:szCs w:val="22"/>
        </w:rPr>
        <w:t xml:space="preserve">“Electronic </w:t>
      </w:r>
      <w:r w:rsidR="005C5317">
        <w:rPr>
          <w:sz w:val="22"/>
          <w:szCs w:val="22"/>
        </w:rPr>
        <w:t>D</w:t>
      </w:r>
      <w:r w:rsidRPr="009371A5">
        <w:rPr>
          <w:sz w:val="22"/>
          <w:szCs w:val="22"/>
        </w:rPr>
        <w:t xml:space="preserve">evice” means </w:t>
      </w:r>
      <w:r w:rsidR="009371A5">
        <w:rPr>
          <w:sz w:val="22"/>
          <w:szCs w:val="22"/>
        </w:rPr>
        <w:t>a</w:t>
      </w:r>
      <w:r w:rsidRPr="009371A5">
        <w:rPr>
          <w:sz w:val="22"/>
          <w:szCs w:val="22"/>
        </w:rPr>
        <w:t xml:space="preserve"> </w:t>
      </w:r>
      <w:r w:rsidR="009371A5" w:rsidRPr="009371A5">
        <w:rPr>
          <w:sz w:val="22"/>
          <w:szCs w:val="22"/>
        </w:rPr>
        <w:t>consumer product which displays information in the visual form, including but not limited to computers, television, cell phone, or a monitor</w:t>
      </w:r>
      <w:r w:rsidR="00C52A6C">
        <w:rPr>
          <w:sz w:val="22"/>
          <w:szCs w:val="22"/>
        </w:rPr>
        <w:t xml:space="preserve">, </w:t>
      </w:r>
      <w:r w:rsidR="00270F2A">
        <w:rPr>
          <w:sz w:val="22"/>
          <w:szCs w:val="22"/>
        </w:rPr>
        <w:t xml:space="preserve">and </w:t>
      </w:r>
      <w:r w:rsidR="00C52A6C">
        <w:rPr>
          <w:sz w:val="22"/>
          <w:szCs w:val="22"/>
        </w:rPr>
        <w:t>also includes hand-held electronic devices marketed to or intended for use by a child under the age of 12 years</w:t>
      </w:r>
      <w:r w:rsidR="009371A5" w:rsidRPr="009371A5">
        <w:rPr>
          <w:sz w:val="22"/>
          <w:szCs w:val="22"/>
        </w:rPr>
        <w:t>.</w:t>
      </w:r>
    </w:p>
    <w:p w:rsidR="00FD452E" w:rsidRPr="00DC68F3" w:rsidRDefault="00FD452E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390F9C" w:rsidRPr="00914EEE" w:rsidRDefault="00390F9C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proofErr w:type="gramStart"/>
      <w:r w:rsidRPr="00914EEE">
        <w:rPr>
          <w:b/>
          <w:sz w:val="22"/>
          <w:szCs w:val="22"/>
        </w:rPr>
        <w:t xml:space="preserve">Household </w:t>
      </w:r>
      <w:r w:rsidR="005C5317">
        <w:rPr>
          <w:b/>
          <w:sz w:val="22"/>
          <w:szCs w:val="22"/>
        </w:rPr>
        <w:t>F</w:t>
      </w:r>
      <w:r w:rsidRPr="00914EEE">
        <w:rPr>
          <w:b/>
          <w:sz w:val="22"/>
          <w:szCs w:val="22"/>
        </w:rPr>
        <w:t xml:space="preserve">urniture and </w:t>
      </w:r>
      <w:r w:rsidR="005C5317">
        <w:rPr>
          <w:b/>
          <w:sz w:val="22"/>
          <w:szCs w:val="22"/>
        </w:rPr>
        <w:t>F</w:t>
      </w:r>
      <w:r w:rsidRPr="00914EEE">
        <w:rPr>
          <w:b/>
          <w:sz w:val="22"/>
          <w:szCs w:val="22"/>
        </w:rPr>
        <w:t>urnishings.</w:t>
      </w:r>
      <w:proofErr w:type="gramEnd"/>
      <w:r w:rsidRPr="00914EEE">
        <w:rPr>
          <w:b/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“Household </w:t>
      </w:r>
      <w:r w:rsidR="005C5317">
        <w:rPr>
          <w:sz w:val="22"/>
          <w:szCs w:val="22"/>
        </w:rPr>
        <w:t>F</w:t>
      </w:r>
      <w:r w:rsidRPr="00914EEE">
        <w:rPr>
          <w:sz w:val="22"/>
          <w:szCs w:val="22"/>
        </w:rPr>
        <w:t xml:space="preserve">urniture and </w:t>
      </w:r>
      <w:r w:rsidR="005C5317">
        <w:rPr>
          <w:sz w:val="22"/>
          <w:szCs w:val="22"/>
        </w:rPr>
        <w:t>F</w:t>
      </w:r>
      <w:r w:rsidRPr="00914EEE">
        <w:rPr>
          <w:sz w:val="22"/>
          <w:szCs w:val="22"/>
        </w:rPr>
        <w:t xml:space="preserve">urnishings” means </w:t>
      </w:r>
      <w:r w:rsidR="00EC2987">
        <w:rPr>
          <w:sz w:val="22"/>
          <w:szCs w:val="22"/>
        </w:rPr>
        <w:t>consumer</w:t>
      </w:r>
      <w:r w:rsidR="00EC2987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products that are large, movable</w:t>
      </w:r>
      <w:r w:rsidRPr="00914EEE">
        <w:rPr>
          <w:strike/>
          <w:sz w:val="22"/>
          <w:szCs w:val="22"/>
        </w:rPr>
        <w:t xml:space="preserve"> </w:t>
      </w:r>
      <w:r w:rsidRPr="00914EEE">
        <w:rPr>
          <w:sz w:val="22"/>
          <w:szCs w:val="22"/>
        </w:rPr>
        <w:t>products used to make a space livable, including but n</w:t>
      </w:r>
      <w:r>
        <w:rPr>
          <w:sz w:val="22"/>
          <w:szCs w:val="22"/>
        </w:rPr>
        <w:t xml:space="preserve">ot limited to </w:t>
      </w:r>
      <w:r w:rsidRPr="0092682A">
        <w:rPr>
          <w:sz w:val="22"/>
          <w:szCs w:val="22"/>
        </w:rPr>
        <w:t>bed frames, upholstered couches or chairs,</w:t>
      </w:r>
      <w:r w:rsidRPr="00914EEE">
        <w:rPr>
          <w:sz w:val="22"/>
          <w:szCs w:val="22"/>
        </w:rPr>
        <w:t xml:space="preserve"> tables, desks, and storage units, and other children’s products intended for use as decorative accessories for a house or room, including but not limited to bedding, textiles, clocks, ornaments, pictures, mirrors and frames.</w:t>
      </w:r>
    </w:p>
    <w:p w:rsidR="00390F9C" w:rsidRPr="00914EEE" w:rsidRDefault="00390F9C" w:rsidP="00390F9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b/>
          <w:sz w:val="22"/>
          <w:szCs w:val="22"/>
        </w:rPr>
      </w:pPr>
    </w:p>
    <w:p w:rsidR="00F956B2" w:rsidRPr="00BB0BBB" w:rsidRDefault="00390F9C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M</w:t>
      </w:r>
      <w:r w:rsidRPr="00F66902">
        <w:rPr>
          <w:b/>
          <w:sz w:val="22"/>
          <w:szCs w:val="22"/>
        </w:rPr>
        <w:t>attress.</w:t>
      </w:r>
      <w:proofErr w:type="gramEnd"/>
      <w:r w:rsidR="00FD45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“Mattress” means </w:t>
      </w:r>
      <w:r w:rsidR="00F87194">
        <w:rPr>
          <w:sz w:val="22"/>
          <w:szCs w:val="22"/>
        </w:rPr>
        <w:t>t</w:t>
      </w:r>
      <w:r w:rsidR="00975563">
        <w:rPr>
          <w:sz w:val="22"/>
          <w:szCs w:val="22"/>
        </w:rPr>
        <w:t>icking filled with a</w:t>
      </w:r>
      <w:r>
        <w:rPr>
          <w:sz w:val="22"/>
          <w:szCs w:val="22"/>
        </w:rPr>
        <w:t xml:space="preserve"> resilient material used alone or in combination with other products intended</w:t>
      </w:r>
      <w:r w:rsidR="00975563">
        <w:rPr>
          <w:sz w:val="22"/>
          <w:szCs w:val="22"/>
        </w:rPr>
        <w:t xml:space="preserve"> or promoted</w:t>
      </w:r>
      <w:r>
        <w:rPr>
          <w:sz w:val="22"/>
          <w:szCs w:val="22"/>
        </w:rPr>
        <w:t xml:space="preserve"> for sleeping upon</w:t>
      </w:r>
      <w:r w:rsidR="00975563">
        <w:rPr>
          <w:sz w:val="22"/>
          <w:szCs w:val="22"/>
        </w:rPr>
        <w:t>,</w:t>
      </w:r>
      <w:r w:rsidR="00975563" w:rsidRPr="00975563">
        <w:rPr>
          <w:sz w:val="22"/>
          <w:szCs w:val="22"/>
        </w:rPr>
        <w:t xml:space="preserve"> </w:t>
      </w:r>
      <w:r w:rsidR="00975563">
        <w:rPr>
          <w:sz w:val="22"/>
          <w:szCs w:val="22"/>
        </w:rPr>
        <w:t>including portable crib mattresses</w:t>
      </w:r>
      <w:r w:rsidR="00F956B2">
        <w:rPr>
          <w:sz w:val="22"/>
          <w:szCs w:val="22"/>
        </w:rPr>
        <w:t>.</w:t>
      </w:r>
    </w:p>
    <w:p w:rsidR="00F956B2" w:rsidRPr="00BB0BBB" w:rsidRDefault="00F956B2" w:rsidP="00BB0BBB">
      <w:pPr>
        <w:pStyle w:val="ListParagraph"/>
        <w:rPr>
          <w:sz w:val="22"/>
          <w:szCs w:val="22"/>
        </w:rPr>
      </w:pPr>
    </w:p>
    <w:p w:rsidR="00390F9C" w:rsidRPr="00390F9C" w:rsidRDefault="00F956B2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Pr="00F66902">
        <w:rPr>
          <w:b/>
          <w:sz w:val="22"/>
          <w:szCs w:val="22"/>
        </w:rPr>
        <w:t xml:space="preserve">attress </w:t>
      </w:r>
      <w:r>
        <w:rPr>
          <w:b/>
          <w:sz w:val="22"/>
          <w:szCs w:val="22"/>
        </w:rPr>
        <w:t>P</w:t>
      </w:r>
      <w:r w:rsidRPr="00F66902">
        <w:rPr>
          <w:b/>
          <w:sz w:val="22"/>
          <w:szCs w:val="22"/>
        </w:rPr>
        <w:t>ad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90F9C">
        <w:rPr>
          <w:sz w:val="22"/>
          <w:szCs w:val="22"/>
        </w:rPr>
        <w:t>“</w:t>
      </w:r>
      <w:r w:rsidR="00EC2987">
        <w:rPr>
          <w:sz w:val="22"/>
          <w:szCs w:val="22"/>
        </w:rPr>
        <w:t>M</w:t>
      </w:r>
      <w:r w:rsidR="00390F9C">
        <w:rPr>
          <w:sz w:val="22"/>
          <w:szCs w:val="22"/>
        </w:rPr>
        <w:t xml:space="preserve">attress </w:t>
      </w:r>
      <w:r w:rsidR="00EC2987">
        <w:rPr>
          <w:sz w:val="22"/>
          <w:szCs w:val="22"/>
        </w:rPr>
        <w:t>P</w:t>
      </w:r>
      <w:r w:rsidR="00390F9C">
        <w:rPr>
          <w:sz w:val="22"/>
          <w:szCs w:val="22"/>
        </w:rPr>
        <w:t>ad” means a thin, flat mat or cushion, and/or ticking fil</w:t>
      </w:r>
      <w:r w:rsidR="00975563">
        <w:rPr>
          <w:sz w:val="22"/>
          <w:szCs w:val="22"/>
        </w:rPr>
        <w:t xml:space="preserve">led with resilient material intended or promoted for </w:t>
      </w:r>
      <w:r w:rsidR="00390F9C">
        <w:rPr>
          <w:sz w:val="22"/>
          <w:szCs w:val="22"/>
        </w:rPr>
        <w:t>use on top of a mattress</w:t>
      </w:r>
      <w:r>
        <w:rPr>
          <w:sz w:val="22"/>
          <w:szCs w:val="22"/>
        </w:rPr>
        <w:t>.</w:t>
      </w:r>
      <w:r w:rsidR="00FD452E">
        <w:rPr>
          <w:sz w:val="22"/>
          <w:szCs w:val="22"/>
        </w:rPr>
        <w:t xml:space="preserve">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Default="003412D0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 w:rsidRPr="00914EEE">
        <w:rPr>
          <w:b/>
          <w:sz w:val="22"/>
          <w:szCs w:val="22"/>
        </w:rPr>
        <w:t xml:space="preserve">Regulated </w:t>
      </w:r>
      <w:r w:rsidR="005C5317">
        <w:rPr>
          <w:b/>
          <w:sz w:val="22"/>
          <w:szCs w:val="22"/>
        </w:rPr>
        <w:t>F</w:t>
      </w:r>
      <w:r w:rsidR="004C2E5D">
        <w:rPr>
          <w:b/>
          <w:sz w:val="22"/>
          <w:szCs w:val="22"/>
        </w:rPr>
        <w:t xml:space="preserve">lame </w:t>
      </w:r>
      <w:r w:rsidR="005C5317">
        <w:rPr>
          <w:b/>
          <w:sz w:val="22"/>
          <w:szCs w:val="22"/>
        </w:rPr>
        <w:t>R</w:t>
      </w:r>
      <w:r w:rsidR="004C2E5D">
        <w:rPr>
          <w:b/>
          <w:sz w:val="22"/>
          <w:szCs w:val="22"/>
        </w:rPr>
        <w:t>etardants</w:t>
      </w:r>
      <w:r w:rsidRPr="00914EEE">
        <w:rPr>
          <w:b/>
          <w:sz w:val="22"/>
          <w:szCs w:val="22"/>
        </w:rPr>
        <w:t>.</w:t>
      </w:r>
      <w:r w:rsidRPr="00914EEE">
        <w:rPr>
          <w:sz w:val="22"/>
          <w:szCs w:val="22"/>
        </w:rPr>
        <w:t xml:space="preserve"> “</w:t>
      </w:r>
      <w:r w:rsidR="005C5317">
        <w:rPr>
          <w:sz w:val="22"/>
          <w:szCs w:val="22"/>
        </w:rPr>
        <w:t>R</w:t>
      </w:r>
      <w:r w:rsidRPr="00914EEE">
        <w:rPr>
          <w:sz w:val="22"/>
          <w:szCs w:val="22"/>
        </w:rPr>
        <w:t xml:space="preserve">egulated </w:t>
      </w:r>
      <w:r w:rsidR="005C5317">
        <w:rPr>
          <w:sz w:val="22"/>
          <w:szCs w:val="22"/>
        </w:rPr>
        <w:t>F</w:t>
      </w:r>
      <w:r w:rsidR="004C2E5D">
        <w:rPr>
          <w:sz w:val="22"/>
          <w:szCs w:val="22"/>
        </w:rPr>
        <w:t xml:space="preserve">lame </w:t>
      </w:r>
      <w:r w:rsidR="005C5317">
        <w:rPr>
          <w:sz w:val="22"/>
          <w:szCs w:val="22"/>
        </w:rPr>
        <w:t>R</w:t>
      </w:r>
      <w:r w:rsidR="004C2E5D">
        <w:rPr>
          <w:sz w:val="22"/>
          <w:szCs w:val="22"/>
        </w:rPr>
        <w:t>etardants</w:t>
      </w:r>
      <w:r w:rsidR="00A303EC" w:rsidRPr="00914EEE">
        <w:rPr>
          <w:sz w:val="22"/>
          <w:szCs w:val="22"/>
        </w:rPr>
        <w:t>”</w:t>
      </w:r>
      <w:r w:rsidRPr="00914EEE">
        <w:rPr>
          <w:sz w:val="22"/>
          <w:szCs w:val="22"/>
        </w:rPr>
        <w:t xml:space="preserve"> means any one of the following: </w:t>
      </w:r>
      <w:r w:rsidR="00F66902">
        <w:rPr>
          <w:sz w:val="22"/>
          <w:szCs w:val="22"/>
        </w:rPr>
        <w:t>decabromodiphenyl ether</w:t>
      </w:r>
      <w:r w:rsidRPr="00914EEE">
        <w:rPr>
          <w:sz w:val="22"/>
          <w:szCs w:val="22"/>
        </w:rPr>
        <w:t xml:space="preserve"> with a CAS number of </w:t>
      </w:r>
      <w:r w:rsidR="00F66902">
        <w:rPr>
          <w:sz w:val="22"/>
          <w:szCs w:val="22"/>
        </w:rPr>
        <w:t>1163-19-5</w:t>
      </w:r>
      <w:r w:rsidRPr="00914EEE">
        <w:rPr>
          <w:sz w:val="22"/>
          <w:szCs w:val="22"/>
        </w:rPr>
        <w:t xml:space="preserve">; </w:t>
      </w:r>
      <w:r w:rsidR="00F66902">
        <w:rPr>
          <w:sz w:val="22"/>
          <w:szCs w:val="22"/>
        </w:rPr>
        <w:t>hexabromocy</w:t>
      </w:r>
      <w:r w:rsidR="00C44C30">
        <w:rPr>
          <w:sz w:val="22"/>
          <w:szCs w:val="22"/>
        </w:rPr>
        <w:t>c</w:t>
      </w:r>
      <w:bookmarkStart w:id="0" w:name="_GoBack"/>
      <w:bookmarkEnd w:id="0"/>
      <w:r w:rsidR="00F66902">
        <w:rPr>
          <w:sz w:val="22"/>
          <w:szCs w:val="22"/>
        </w:rPr>
        <w:t>lododecane</w:t>
      </w:r>
      <w:r w:rsidRPr="00914EEE">
        <w:rPr>
          <w:sz w:val="22"/>
          <w:szCs w:val="22"/>
        </w:rPr>
        <w:t xml:space="preserve"> with a CAS number of </w:t>
      </w:r>
      <w:r w:rsidR="00F66902">
        <w:rPr>
          <w:sz w:val="22"/>
          <w:szCs w:val="22"/>
        </w:rPr>
        <w:t>25637-99-4.</w:t>
      </w:r>
    </w:p>
    <w:p w:rsidR="00F956B2" w:rsidRPr="00BB0BBB" w:rsidRDefault="00F956B2" w:rsidP="00BB0BBB">
      <w:pPr>
        <w:pStyle w:val="ListParagraph"/>
        <w:rPr>
          <w:sz w:val="22"/>
          <w:szCs w:val="22"/>
        </w:rPr>
      </w:pPr>
    </w:p>
    <w:p w:rsidR="00F956B2" w:rsidRPr="00390F9C" w:rsidRDefault="00F956B2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Ticking. </w:t>
      </w:r>
      <w:r>
        <w:rPr>
          <w:sz w:val="22"/>
          <w:szCs w:val="22"/>
        </w:rPr>
        <w:t>“Ticking” means the outermost layer of fabric or related material that encloses the core and upholstery materials of a mattress or mattress pad.</w:t>
      </w:r>
      <w:r w:rsidRPr="00914EEE">
        <w:rPr>
          <w:b/>
          <w:sz w:val="22"/>
          <w:szCs w:val="22"/>
        </w:rPr>
        <w:t xml:space="preserve"> </w:t>
      </w:r>
    </w:p>
    <w:p w:rsidR="00F956B2" w:rsidRPr="00914EEE" w:rsidRDefault="00F956B2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E55E4D" w:rsidRPr="00914EEE" w:rsidRDefault="00671FED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990"/>
          <w:tab w:val="left" w:pos="1170"/>
          <w:tab w:val="left" w:pos="1440"/>
          <w:tab w:val="left" w:pos="1800"/>
          <w:tab w:val="left" w:pos="2160"/>
        </w:tabs>
        <w:ind w:right="90"/>
        <w:rPr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For the </w:t>
      </w:r>
      <w:r w:rsidR="00E55E4D" w:rsidRPr="00914EEE">
        <w:rPr>
          <w:sz w:val="22"/>
          <w:szCs w:val="22"/>
        </w:rPr>
        <w:t>definition of “ch</w:t>
      </w:r>
      <w:r w:rsidRPr="00914EEE">
        <w:rPr>
          <w:sz w:val="22"/>
          <w:szCs w:val="22"/>
        </w:rPr>
        <w:t xml:space="preserve">ildren’s product” see </w:t>
      </w:r>
      <w:r w:rsidR="00E55E4D" w:rsidRPr="00914EEE">
        <w:rPr>
          <w:i/>
          <w:sz w:val="22"/>
          <w:szCs w:val="22"/>
        </w:rPr>
        <w:t>Toxic Chemicals in Children’s Products</w:t>
      </w:r>
      <w:r w:rsidR="006C04FC" w:rsidRPr="00914EEE">
        <w:rPr>
          <w:sz w:val="22"/>
          <w:szCs w:val="22"/>
        </w:rPr>
        <w:t>, 38</w:t>
      </w:r>
      <w:r w:rsidR="00B70E90">
        <w:rPr>
          <w:sz w:val="22"/>
          <w:szCs w:val="22"/>
        </w:rPr>
        <w:t> </w:t>
      </w:r>
      <w:r w:rsidR="00E55E4D" w:rsidRPr="00914EEE">
        <w:rPr>
          <w:sz w:val="22"/>
          <w:szCs w:val="22"/>
        </w:rPr>
        <w:t xml:space="preserve">M.R.S. </w:t>
      </w:r>
      <w:r w:rsidR="00CE0ED3">
        <w:rPr>
          <w:sz w:val="22"/>
          <w:szCs w:val="22"/>
        </w:rPr>
        <w:t>§</w:t>
      </w:r>
      <w:r w:rsidR="00E55E4D" w:rsidRPr="00914EEE">
        <w:rPr>
          <w:sz w:val="22"/>
          <w:szCs w:val="22"/>
        </w:rPr>
        <w:t xml:space="preserve">1691(7) or Department </w:t>
      </w:r>
      <w:r w:rsidRPr="00914EEE">
        <w:rPr>
          <w:sz w:val="22"/>
          <w:szCs w:val="22"/>
        </w:rPr>
        <w:t xml:space="preserve">rule, </w:t>
      </w:r>
      <w:r w:rsidR="00D1589D" w:rsidRPr="00914EEE">
        <w:rPr>
          <w:sz w:val="22"/>
          <w:szCs w:val="22"/>
        </w:rPr>
        <w:t>06-096 C</w:t>
      </w:r>
      <w:r w:rsidR="005C5317">
        <w:rPr>
          <w:sz w:val="22"/>
          <w:szCs w:val="22"/>
        </w:rPr>
        <w:t>.</w:t>
      </w:r>
      <w:r w:rsidR="00D1589D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D1589D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D1589D" w:rsidRPr="00914EEE">
        <w:rPr>
          <w:sz w:val="22"/>
          <w:szCs w:val="22"/>
        </w:rPr>
        <w:t xml:space="preserve"> </w:t>
      </w:r>
      <w:r w:rsidR="00851DA9" w:rsidRPr="00D332AD">
        <w:rPr>
          <w:sz w:val="22"/>
          <w:szCs w:val="22"/>
        </w:rPr>
        <w:t>ch</w:t>
      </w:r>
      <w:r w:rsidR="00851DA9">
        <w:rPr>
          <w:rFonts w:ascii="Arial Narrow" w:hAnsi="Arial Narrow"/>
          <w:sz w:val="22"/>
          <w:szCs w:val="22"/>
        </w:rPr>
        <w:t>.</w:t>
      </w:r>
      <w:r w:rsidR="00D332AD">
        <w:rPr>
          <w:rFonts w:ascii="Arial Narrow" w:hAnsi="Arial Narrow"/>
          <w:sz w:val="22"/>
          <w:szCs w:val="22"/>
        </w:rPr>
        <w:t> </w:t>
      </w:r>
      <w:r w:rsidR="00D1589D" w:rsidRPr="00914EEE">
        <w:rPr>
          <w:sz w:val="22"/>
          <w:szCs w:val="22"/>
        </w:rPr>
        <w:t>880(1</w:t>
      </w:r>
      <w:proofErr w:type="gramStart"/>
      <w:r w:rsidR="00D1589D" w:rsidRPr="00914EEE">
        <w:rPr>
          <w:sz w:val="22"/>
          <w:szCs w:val="22"/>
        </w:rPr>
        <w:t>)(</w:t>
      </w:r>
      <w:proofErr w:type="gramEnd"/>
      <w:r w:rsidR="00D1589D" w:rsidRPr="00914EEE">
        <w:rPr>
          <w:sz w:val="22"/>
          <w:szCs w:val="22"/>
        </w:rPr>
        <w:t>G).</w:t>
      </w:r>
      <w:r w:rsidR="00E55E4D" w:rsidRPr="00914EEE">
        <w:rPr>
          <w:sz w:val="22"/>
          <w:szCs w:val="22"/>
        </w:rPr>
        <w:t xml:space="preserve"> </w:t>
      </w:r>
    </w:p>
    <w:p w:rsidR="00924E83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70E90" w:rsidRPr="00914EEE" w:rsidRDefault="00B70E90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right="-180" w:hanging="36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>3.</w:t>
      </w:r>
      <w:r w:rsidRPr="00914EEE">
        <w:rPr>
          <w:b/>
          <w:sz w:val="22"/>
          <w:szCs w:val="22"/>
        </w:rPr>
        <w:tab/>
        <w:t xml:space="preserve">Designation of </w:t>
      </w:r>
      <w:r w:rsidR="004B77A0">
        <w:rPr>
          <w:b/>
          <w:sz w:val="22"/>
          <w:szCs w:val="22"/>
        </w:rPr>
        <w:t>two</w:t>
      </w:r>
      <w:r w:rsidR="00F66902">
        <w:rPr>
          <w:b/>
          <w:sz w:val="22"/>
          <w:szCs w:val="22"/>
        </w:rPr>
        <w:t xml:space="preserve"> </w:t>
      </w:r>
      <w:r w:rsidR="00270F2A">
        <w:rPr>
          <w:b/>
          <w:sz w:val="22"/>
          <w:szCs w:val="22"/>
        </w:rPr>
        <w:t>R</w:t>
      </w:r>
      <w:r w:rsidR="00F66902">
        <w:rPr>
          <w:b/>
          <w:sz w:val="22"/>
          <w:szCs w:val="22"/>
        </w:rPr>
        <w:t xml:space="preserve">egulated </w:t>
      </w:r>
      <w:r w:rsidR="00270F2A">
        <w:rPr>
          <w:b/>
          <w:sz w:val="22"/>
          <w:szCs w:val="22"/>
        </w:rPr>
        <w:t>Flame Retardants</w:t>
      </w:r>
      <w:r w:rsidRPr="00914EEE">
        <w:rPr>
          <w:b/>
          <w:sz w:val="22"/>
          <w:szCs w:val="22"/>
        </w:rPr>
        <w:t xml:space="preserve"> as priority chemicals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A.</w:t>
      </w:r>
      <w:r w:rsidRPr="00914EEE">
        <w:rPr>
          <w:b/>
          <w:sz w:val="22"/>
          <w:szCs w:val="22"/>
        </w:rPr>
        <w:tab/>
        <w:t xml:space="preserve">Presence on chemicals of high concern list. </w:t>
      </w:r>
      <w:r w:rsidR="00BE7715" w:rsidRPr="00914EEE">
        <w:rPr>
          <w:sz w:val="22"/>
          <w:szCs w:val="22"/>
        </w:rPr>
        <w:t xml:space="preserve">The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4C2E5D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4C2E5D">
        <w:rPr>
          <w:sz w:val="22"/>
          <w:szCs w:val="22"/>
        </w:rPr>
        <w:t>etardants</w:t>
      </w:r>
      <w:r w:rsidR="00BE7715" w:rsidRPr="00914EEE">
        <w:rPr>
          <w:sz w:val="22"/>
          <w:szCs w:val="22"/>
        </w:rPr>
        <w:t xml:space="preserve"> </w:t>
      </w:r>
      <w:r w:rsidR="00D7738C" w:rsidRPr="00914EEE">
        <w:rPr>
          <w:sz w:val="22"/>
          <w:szCs w:val="22"/>
        </w:rPr>
        <w:t xml:space="preserve">are present </w:t>
      </w:r>
      <w:r w:rsidR="00BE7715" w:rsidRPr="00914EEE">
        <w:rPr>
          <w:sz w:val="22"/>
          <w:szCs w:val="22"/>
        </w:rPr>
        <w:t xml:space="preserve">on the list of chemicals of high concern </w:t>
      </w:r>
      <w:r w:rsidRPr="00914EEE">
        <w:rPr>
          <w:sz w:val="22"/>
          <w:szCs w:val="22"/>
        </w:rPr>
        <w:t xml:space="preserve">published by the </w:t>
      </w:r>
      <w:r w:rsidR="0096104A" w:rsidRPr="00914EEE">
        <w:rPr>
          <w:sz w:val="22"/>
          <w:szCs w:val="22"/>
        </w:rPr>
        <w:t>Department under 38 M.R.S.</w:t>
      </w:r>
      <w:r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Pr="00914EEE">
        <w:rPr>
          <w:sz w:val="22"/>
          <w:szCs w:val="22"/>
        </w:rPr>
        <w:t>1693</w:t>
      </w:r>
      <w:r w:rsidR="00FD182A" w:rsidRPr="00914EEE">
        <w:rPr>
          <w:sz w:val="22"/>
          <w:szCs w:val="22"/>
        </w:rPr>
        <w:t>-A</w:t>
      </w:r>
      <w:r w:rsidR="00D7738C" w:rsidRPr="00914EEE">
        <w:rPr>
          <w:sz w:val="22"/>
          <w:szCs w:val="22"/>
        </w:rPr>
        <w:t>, as of the effective date of this chapter</w:t>
      </w:r>
      <w:r w:rsidRPr="00914EEE">
        <w:rPr>
          <w:sz w:val="22"/>
          <w:szCs w:val="22"/>
        </w:rPr>
        <w:t>.</w:t>
      </w:r>
    </w:p>
    <w:p w:rsidR="00E0679E" w:rsidRPr="00914EEE" w:rsidRDefault="00E0679E" w:rsidP="0010055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990"/>
          <w:tab w:val="left" w:pos="1440"/>
          <w:tab w:val="left" w:pos="1800"/>
          <w:tab w:val="left" w:pos="2160"/>
        </w:tabs>
        <w:ind w:right="90"/>
        <w:jc w:val="center"/>
        <w:rPr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 To view the full list</w:t>
      </w:r>
      <w:r w:rsidR="006C04FC" w:rsidRPr="00914EEE">
        <w:rPr>
          <w:sz w:val="22"/>
          <w:szCs w:val="22"/>
        </w:rPr>
        <w:t xml:space="preserve"> </w:t>
      </w:r>
      <w:r w:rsidR="00290990" w:rsidRPr="00914EEE">
        <w:rPr>
          <w:sz w:val="22"/>
          <w:szCs w:val="22"/>
        </w:rPr>
        <w:t>of chemicals of high c</w:t>
      </w:r>
      <w:r w:rsidR="006C04FC" w:rsidRPr="00914EEE">
        <w:rPr>
          <w:sz w:val="22"/>
          <w:szCs w:val="22"/>
        </w:rPr>
        <w:t>oncern</w:t>
      </w:r>
      <w:r w:rsidRPr="00914EEE">
        <w:rPr>
          <w:sz w:val="22"/>
          <w:szCs w:val="22"/>
        </w:rPr>
        <w:t>, go to:</w:t>
      </w:r>
      <w:r w:rsidR="00F956B2">
        <w:rPr>
          <w:sz w:val="22"/>
          <w:szCs w:val="22"/>
        </w:rPr>
        <w:t xml:space="preserve"> </w:t>
      </w:r>
      <w:hyperlink r:id="rId9" w:history="1">
        <w:r w:rsidR="003412D0" w:rsidRPr="00D332AD">
          <w:rPr>
            <w:rStyle w:val="Hyperlink"/>
            <w:color w:val="005EA4"/>
            <w:sz w:val="22"/>
            <w:u w:val="none"/>
          </w:rPr>
          <w:t>http://www.maine.gov/dep/safechem/highconcern/index.html</w:t>
        </w:r>
      </w:hyperlink>
      <w:r w:rsidR="00D332AD">
        <w:rPr>
          <w:rStyle w:val="Hyperlink"/>
          <w:color w:val="auto"/>
          <w:sz w:val="22"/>
          <w:u w:val="none"/>
        </w:rPr>
        <w:t>.</w:t>
      </w:r>
    </w:p>
    <w:p w:rsidR="00E0679E" w:rsidRPr="00914EE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 xml:space="preserve">Criteria for designation. </w:t>
      </w:r>
      <w:r w:rsidRPr="00914EEE">
        <w:rPr>
          <w:sz w:val="22"/>
          <w:szCs w:val="22"/>
        </w:rPr>
        <w:t xml:space="preserve">The following criteria for designation of the </w:t>
      </w:r>
      <w:r w:rsidR="004B77A0">
        <w:rPr>
          <w:sz w:val="22"/>
          <w:szCs w:val="22"/>
        </w:rPr>
        <w:t>two</w:t>
      </w:r>
      <w:r w:rsidR="00BE7715" w:rsidRPr="00914EEE">
        <w:rPr>
          <w:sz w:val="22"/>
          <w:szCs w:val="22"/>
        </w:rPr>
        <w:t xml:space="preserve">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B437A3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B437A3">
        <w:rPr>
          <w:sz w:val="22"/>
          <w:szCs w:val="22"/>
        </w:rPr>
        <w:t>etardants</w:t>
      </w:r>
      <w:r w:rsidR="00BE7715" w:rsidRPr="00914EEE">
        <w:rPr>
          <w:sz w:val="22"/>
          <w:szCs w:val="22"/>
        </w:rPr>
        <w:t xml:space="preserve"> </w:t>
      </w:r>
      <w:r w:rsidR="00B00D0D" w:rsidRPr="00914EEE">
        <w:rPr>
          <w:sz w:val="22"/>
          <w:szCs w:val="22"/>
        </w:rPr>
        <w:t>as priority chemicals,</w:t>
      </w:r>
      <w:r w:rsidR="0050177F">
        <w:rPr>
          <w:sz w:val="22"/>
          <w:szCs w:val="22"/>
        </w:rPr>
        <w:t xml:space="preserve"> as set forth under 38 </w:t>
      </w:r>
      <w:r w:rsidR="00B82CCE" w:rsidRPr="00914EEE">
        <w:rPr>
          <w:sz w:val="22"/>
          <w:szCs w:val="22"/>
        </w:rPr>
        <w:t xml:space="preserve">M.R.S. </w:t>
      </w:r>
      <w:r w:rsidR="00CE0ED3">
        <w:rPr>
          <w:sz w:val="22"/>
          <w:szCs w:val="22"/>
        </w:rPr>
        <w:t>§</w:t>
      </w:r>
      <w:r w:rsidRPr="00914EEE">
        <w:rPr>
          <w:sz w:val="22"/>
          <w:szCs w:val="22"/>
        </w:rPr>
        <w:t>1694, have been met as documented in the basis statement accompanying this chapter: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</w:r>
      <w:r w:rsidR="00270F2A">
        <w:rPr>
          <w:sz w:val="22"/>
          <w:szCs w:val="22"/>
        </w:rPr>
        <w:t>The r</w:t>
      </w:r>
      <w:r w:rsidR="009A7352" w:rsidRPr="00914EEE">
        <w:rPr>
          <w:sz w:val="22"/>
          <w:szCs w:val="22"/>
        </w:rPr>
        <w:t xml:space="preserve">egulated </w:t>
      </w:r>
      <w:r w:rsidR="00270F2A">
        <w:rPr>
          <w:sz w:val="22"/>
          <w:szCs w:val="22"/>
        </w:rPr>
        <w:t>Flame Retardants</w:t>
      </w:r>
      <w:r w:rsidRPr="00914EEE">
        <w:rPr>
          <w:sz w:val="22"/>
          <w:szCs w:val="22"/>
        </w:rPr>
        <w:t xml:space="preserve"> have been found through biomonitoring to be present in human bodily tissues or fluids;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="00924E83">
        <w:rPr>
          <w:sz w:val="22"/>
          <w:szCs w:val="22"/>
        </w:rPr>
        <w:tab/>
      </w:r>
      <w:r w:rsidR="00270F2A">
        <w:rPr>
          <w:sz w:val="22"/>
          <w:szCs w:val="22"/>
        </w:rPr>
        <w:t>The r</w:t>
      </w:r>
      <w:r w:rsidR="009A7352" w:rsidRPr="00914EEE">
        <w:rPr>
          <w:sz w:val="22"/>
          <w:szCs w:val="22"/>
        </w:rPr>
        <w:t xml:space="preserve">egulated </w:t>
      </w:r>
      <w:r w:rsidR="00270F2A">
        <w:rPr>
          <w:sz w:val="22"/>
          <w:szCs w:val="22"/>
        </w:rPr>
        <w:t>Flame Retardants</w:t>
      </w:r>
      <w:r w:rsidR="00F66902" w:rsidRPr="00914EEE">
        <w:rPr>
          <w:sz w:val="22"/>
          <w:szCs w:val="22"/>
        </w:rPr>
        <w:t xml:space="preserve"> </w:t>
      </w:r>
      <w:r w:rsidR="002650CF" w:rsidRPr="00914EEE">
        <w:rPr>
          <w:sz w:val="22"/>
          <w:szCs w:val="22"/>
        </w:rPr>
        <w:t xml:space="preserve">have been found through sampling and analysis </w:t>
      </w:r>
      <w:r w:rsidR="00A0332D" w:rsidRPr="00914EEE">
        <w:rPr>
          <w:sz w:val="22"/>
          <w:szCs w:val="22"/>
        </w:rPr>
        <w:t>to be present in household dust and</w:t>
      </w:r>
      <w:r w:rsidR="002650CF" w:rsidRPr="00914EEE">
        <w:rPr>
          <w:sz w:val="22"/>
          <w:szCs w:val="22"/>
        </w:rPr>
        <w:t xml:space="preserve"> indoor air;</w:t>
      </w:r>
      <w:r w:rsidR="004A3BC1" w:rsidRPr="00914EEE">
        <w:rPr>
          <w:sz w:val="22"/>
          <w:szCs w:val="22"/>
        </w:rPr>
        <w:t xml:space="preserve"> and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Default="00204402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90" w:hanging="360"/>
        <w:rPr>
          <w:sz w:val="22"/>
          <w:szCs w:val="22"/>
        </w:rPr>
      </w:pPr>
      <w:r w:rsidRPr="00914EEE">
        <w:rPr>
          <w:sz w:val="22"/>
          <w:szCs w:val="22"/>
        </w:rPr>
        <w:t>(3</w:t>
      </w:r>
      <w:r w:rsidR="0001047E" w:rsidRPr="00914EEE">
        <w:rPr>
          <w:sz w:val="22"/>
          <w:szCs w:val="22"/>
        </w:rPr>
        <w:t>)</w:t>
      </w:r>
      <w:r w:rsidR="00924E83">
        <w:rPr>
          <w:sz w:val="22"/>
          <w:szCs w:val="22"/>
        </w:rPr>
        <w:tab/>
      </w:r>
      <w:r w:rsidR="00270F2A">
        <w:rPr>
          <w:sz w:val="22"/>
          <w:szCs w:val="22"/>
        </w:rPr>
        <w:t>The r</w:t>
      </w:r>
      <w:r w:rsidR="0050177F">
        <w:rPr>
          <w:sz w:val="22"/>
          <w:szCs w:val="22"/>
        </w:rPr>
        <w:t xml:space="preserve">egulated </w:t>
      </w:r>
      <w:r w:rsidR="00270F2A">
        <w:rPr>
          <w:sz w:val="22"/>
          <w:szCs w:val="22"/>
        </w:rPr>
        <w:t>Flame Retardants</w:t>
      </w:r>
      <w:r w:rsidR="00F66902" w:rsidRPr="00914EEE">
        <w:rPr>
          <w:sz w:val="22"/>
          <w:szCs w:val="22"/>
        </w:rPr>
        <w:t xml:space="preserve"> </w:t>
      </w:r>
      <w:r w:rsidR="00A0332D" w:rsidRPr="00914EEE">
        <w:rPr>
          <w:sz w:val="22"/>
          <w:szCs w:val="22"/>
        </w:rPr>
        <w:t xml:space="preserve">have been found to be </w:t>
      </w:r>
      <w:r w:rsidR="002650CF" w:rsidRPr="00914EEE">
        <w:rPr>
          <w:sz w:val="22"/>
          <w:szCs w:val="22"/>
        </w:rPr>
        <w:t>present in consumer produc</w:t>
      </w:r>
      <w:r w:rsidR="004A3BC1" w:rsidRPr="00914EEE">
        <w:rPr>
          <w:sz w:val="22"/>
          <w:szCs w:val="22"/>
        </w:rPr>
        <w:t>t</w:t>
      </w:r>
      <w:r w:rsidR="00157509" w:rsidRPr="00914EEE">
        <w:rPr>
          <w:sz w:val="22"/>
          <w:szCs w:val="22"/>
        </w:rPr>
        <w:t>s which are</w:t>
      </w:r>
      <w:r w:rsidR="004A3BC1" w:rsidRPr="00914EEE">
        <w:rPr>
          <w:sz w:val="22"/>
          <w:szCs w:val="22"/>
        </w:rPr>
        <w:t xml:space="preserve"> used </w:t>
      </w:r>
      <w:r w:rsidR="00EB5142" w:rsidRPr="00914EEE">
        <w:rPr>
          <w:sz w:val="22"/>
          <w:szCs w:val="22"/>
        </w:rPr>
        <w:t>or</w:t>
      </w:r>
      <w:r w:rsidR="004A3BC1" w:rsidRPr="00914EEE">
        <w:rPr>
          <w:sz w:val="22"/>
          <w:szCs w:val="22"/>
        </w:rPr>
        <w:t xml:space="preserve"> present in the home.</w:t>
      </w:r>
    </w:p>
    <w:p w:rsidR="00E0679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70E90" w:rsidRDefault="00B70E90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4.</w:t>
      </w:r>
      <w:r w:rsidRPr="00914EEE">
        <w:rPr>
          <w:b/>
          <w:sz w:val="22"/>
          <w:szCs w:val="22"/>
        </w:rPr>
        <w:tab/>
        <w:t>Information submission required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B70E9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right="-18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A.</w:t>
      </w:r>
      <w:r w:rsidRPr="00914EEE">
        <w:rPr>
          <w:b/>
          <w:sz w:val="22"/>
          <w:szCs w:val="22"/>
        </w:rPr>
        <w:tab/>
        <w:t>Product categories.</w:t>
      </w:r>
      <w:r w:rsidR="002C0C99" w:rsidRPr="00914EEE">
        <w:rPr>
          <w:b/>
          <w:sz w:val="22"/>
          <w:szCs w:val="22"/>
        </w:rPr>
        <w:t xml:space="preserve"> </w:t>
      </w:r>
      <w:r w:rsidRPr="00914EEE">
        <w:rPr>
          <w:sz w:val="22"/>
          <w:szCs w:val="22"/>
        </w:rPr>
        <w:t>Manufacturers of</w:t>
      </w:r>
      <w:r w:rsidR="00CE0ED3">
        <w:rPr>
          <w:sz w:val="22"/>
          <w:szCs w:val="22"/>
        </w:rPr>
        <w:t xml:space="preserve"> </w:t>
      </w:r>
      <w:r w:rsidR="0096104A" w:rsidRPr="00914EEE">
        <w:rPr>
          <w:sz w:val="22"/>
          <w:szCs w:val="22"/>
        </w:rPr>
        <w:t xml:space="preserve">children’s </w:t>
      </w:r>
      <w:r w:rsidRPr="00914EEE">
        <w:rPr>
          <w:sz w:val="22"/>
          <w:szCs w:val="22"/>
        </w:rPr>
        <w:t>prod</w:t>
      </w:r>
      <w:r w:rsidR="004A4CCD" w:rsidRPr="00914EEE">
        <w:rPr>
          <w:sz w:val="22"/>
          <w:szCs w:val="22"/>
        </w:rPr>
        <w:t xml:space="preserve">ucts that contain intentionally </w:t>
      </w:r>
      <w:r w:rsidRPr="00914EEE">
        <w:rPr>
          <w:sz w:val="22"/>
          <w:szCs w:val="22"/>
        </w:rPr>
        <w:t xml:space="preserve">added </w:t>
      </w:r>
      <w:r w:rsidR="00B437A3">
        <w:rPr>
          <w:sz w:val="22"/>
          <w:szCs w:val="22"/>
        </w:rPr>
        <w:t xml:space="preserve">amounts of the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B437A3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B437A3">
        <w:rPr>
          <w:sz w:val="22"/>
          <w:szCs w:val="22"/>
        </w:rPr>
        <w:t>etardants specified in this chapter</w:t>
      </w:r>
      <w:r w:rsidR="00331C73" w:rsidRPr="00914EEE">
        <w:rPr>
          <w:sz w:val="22"/>
          <w:szCs w:val="22"/>
        </w:rPr>
        <w:t xml:space="preserve">, </w:t>
      </w:r>
      <w:r w:rsidR="006C04FC" w:rsidRPr="00914EEE">
        <w:rPr>
          <w:sz w:val="22"/>
          <w:szCs w:val="22"/>
        </w:rPr>
        <w:t>and which</w:t>
      </w:r>
      <w:r w:rsidR="00331C73" w:rsidRPr="00914EEE">
        <w:rPr>
          <w:sz w:val="22"/>
          <w:szCs w:val="22"/>
        </w:rPr>
        <w:t xml:space="preserve"> </w:t>
      </w:r>
      <w:r w:rsidR="00F60AF9" w:rsidRPr="00914EEE">
        <w:rPr>
          <w:sz w:val="22"/>
          <w:szCs w:val="22"/>
        </w:rPr>
        <w:t>fall into</w:t>
      </w:r>
      <w:r w:rsidR="00331C73" w:rsidRPr="00914EEE">
        <w:rPr>
          <w:sz w:val="22"/>
          <w:szCs w:val="22"/>
        </w:rPr>
        <w:t xml:space="preserve"> the following categories,</w:t>
      </w:r>
      <w:r w:rsidR="0050177F">
        <w:rPr>
          <w:sz w:val="22"/>
          <w:szCs w:val="22"/>
        </w:rPr>
        <w:t xml:space="preserve"> must submit information to the </w:t>
      </w:r>
      <w:r w:rsidR="00331C73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 xml:space="preserve">epartment pursuant to </w:t>
      </w:r>
      <w:r w:rsidR="000D290D" w:rsidRPr="00914EEE">
        <w:rPr>
          <w:sz w:val="22"/>
          <w:szCs w:val="22"/>
        </w:rPr>
        <w:t xml:space="preserve">section 4(B) of </w:t>
      </w:r>
      <w:r w:rsidRPr="00914EEE">
        <w:rPr>
          <w:sz w:val="22"/>
          <w:szCs w:val="22"/>
        </w:rPr>
        <w:t>this chapter: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37A3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</w:r>
      <w:r w:rsidR="00B437A3">
        <w:rPr>
          <w:sz w:val="22"/>
          <w:szCs w:val="22"/>
        </w:rPr>
        <w:t xml:space="preserve">Child Care Article;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Pr="00914EEE">
        <w:rPr>
          <w:sz w:val="22"/>
          <w:szCs w:val="22"/>
        </w:rPr>
        <w:tab/>
      </w:r>
      <w:r w:rsidR="00B437A3">
        <w:rPr>
          <w:sz w:val="22"/>
          <w:szCs w:val="22"/>
        </w:rPr>
        <w:t xml:space="preserve">Children’s </w:t>
      </w:r>
      <w:r w:rsidR="005C5317">
        <w:rPr>
          <w:sz w:val="22"/>
          <w:szCs w:val="22"/>
        </w:rPr>
        <w:t>S</w:t>
      </w:r>
      <w:r w:rsidR="00B437A3">
        <w:rPr>
          <w:sz w:val="22"/>
          <w:szCs w:val="22"/>
        </w:rPr>
        <w:t>leepwear</w:t>
      </w:r>
      <w:r w:rsidR="00053EC2"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(3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B437A3">
        <w:rPr>
          <w:sz w:val="22"/>
          <w:szCs w:val="22"/>
        </w:rPr>
        <w:t xml:space="preserve">Children’s </w:t>
      </w:r>
      <w:r w:rsidR="005C5317">
        <w:rPr>
          <w:sz w:val="22"/>
          <w:szCs w:val="22"/>
        </w:rPr>
        <w:t>T</w:t>
      </w:r>
      <w:r w:rsidR="00B437A3">
        <w:rPr>
          <w:sz w:val="22"/>
          <w:szCs w:val="22"/>
        </w:rPr>
        <w:t>oy</w:t>
      </w:r>
      <w:r w:rsidR="00053EC2"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4058C2" w:rsidRDefault="00651B5E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CE4AB1" w:rsidRPr="00914EEE">
        <w:rPr>
          <w:sz w:val="22"/>
          <w:szCs w:val="22"/>
        </w:rPr>
        <w:t>4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4058C2">
        <w:rPr>
          <w:sz w:val="22"/>
          <w:szCs w:val="22"/>
        </w:rPr>
        <w:t xml:space="preserve">Children’s </w:t>
      </w:r>
      <w:r w:rsidR="00B437A3" w:rsidRPr="00914EEE">
        <w:rPr>
          <w:sz w:val="22"/>
          <w:szCs w:val="22"/>
        </w:rPr>
        <w:t>Clothing</w:t>
      </w:r>
      <w:r w:rsidR="00D37561">
        <w:rPr>
          <w:sz w:val="22"/>
          <w:szCs w:val="22"/>
        </w:rPr>
        <w:t>;</w:t>
      </w:r>
      <w:r w:rsidR="00B437A3" w:rsidRPr="00914EEE">
        <w:rPr>
          <w:sz w:val="22"/>
          <w:szCs w:val="22"/>
        </w:rPr>
        <w:t xml:space="preserve"> </w:t>
      </w:r>
    </w:p>
    <w:p w:rsidR="004058C2" w:rsidRDefault="004058C2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37A3" w:rsidRDefault="004058C2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(6)</w:t>
      </w:r>
      <w:r w:rsidR="00FD45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Children’s </w:t>
      </w:r>
      <w:r w:rsidR="005C5317">
        <w:rPr>
          <w:sz w:val="22"/>
          <w:szCs w:val="22"/>
        </w:rPr>
        <w:t>F</w:t>
      </w:r>
      <w:r w:rsidR="00B437A3" w:rsidRPr="00914EEE">
        <w:rPr>
          <w:sz w:val="22"/>
          <w:szCs w:val="22"/>
        </w:rPr>
        <w:t xml:space="preserve">ootwear; </w:t>
      </w:r>
    </w:p>
    <w:p w:rsidR="0092682A" w:rsidRDefault="0092682A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92682A" w:rsidRPr="00914EEE" w:rsidRDefault="00BB2033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(7)</w:t>
      </w:r>
      <w:r w:rsidR="00FD452E">
        <w:rPr>
          <w:sz w:val="22"/>
          <w:szCs w:val="22"/>
        </w:rPr>
        <w:t xml:space="preserve"> </w:t>
      </w:r>
      <w:r w:rsidR="0092682A">
        <w:rPr>
          <w:sz w:val="22"/>
          <w:szCs w:val="22"/>
        </w:rPr>
        <w:t>Electronic Device;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571B23">
        <w:rPr>
          <w:sz w:val="22"/>
          <w:szCs w:val="22"/>
        </w:rPr>
        <w:t>8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286B1E" w:rsidRPr="00914EEE">
        <w:rPr>
          <w:sz w:val="22"/>
          <w:szCs w:val="22"/>
        </w:rPr>
        <w:t xml:space="preserve">Household </w:t>
      </w:r>
      <w:r w:rsidR="005C5317">
        <w:rPr>
          <w:sz w:val="22"/>
          <w:szCs w:val="22"/>
        </w:rPr>
        <w:t>F</w:t>
      </w:r>
      <w:r w:rsidR="00286B1E" w:rsidRPr="00914EEE">
        <w:rPr>
          <w:sz w:val="22"/>
          <w:szCs w:val="22"/>
        </w:rPr>
        <w:t xml:space="preserve">urniture </w:t>
      </w:r>
      <w:r w:rsidR="009A23AE" w:rsidRPr="00914EEE">
        <w:rPr>
          <w:sz w:val="22"/>
          <w:szCs w:val="22"/>
        </w:rPr>
        <w:t>and</w:t>
      </w:r>
      <w:r w:rsidR="0001047E" w:rsidRPr="00914EEE">
        <w:rPr>
          <w:sz w:val="22"/>
          <w:szCs w:val="22"/>
        </w:rPr>
        <w:t xml:space="preserve"> </w:t>
      </w:r>
      <w:r w:rsidR="005C5317">
        <w:rPr>
          <w:sz w:val="22"/>
          <w:szCs w:val="22"/>
        </w:rPr>
        <w:t>F</w:t>
      </w:r>
      <w:r w:rsidR="0001047E" w:rsidRPr="00914EEE">
        <w:rPr>
          <w:sz w:val="22"/>
          <w:szCs w:val="22"/>
        </w:rPr>
        <w:t>urnishings</w:t>
      </w:r>
      <w:r w:rsidR="00053EC2" w:rsidRPr="00914EEE">
        <w:rPr>
          <w:sz w:val="22"/>
          <w:szCs w:val="22"/>
        </w:rPr>
        <w:t xml:space="preserve">;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F956B2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571B23">
        <w:rPr>
          <w:sz w:val="22"/>
          <w:szCs w:val="22"/>
        </w:rPr>
        <w:t>9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B437A3">
        <w:rPr>
          <w:sz w:val="22"/>
          <w:szCs w:val="22"/>
        </w:rPr>
        <w:t>Mattress</w:t>
      </w:r>
      <w:r w:rsidR="00671B11">
        <w:rPr>
          <w:sz w:val="22"/>
          <w:szCs w:val="22"/>
        </w:rPr>
        <w:t xml:space="preserve">; </w:t>
      </w:r>
    </w:p>
    <w:p w:rsidR="00F956B2" w:rsidRDefault="00F956B2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571B2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(10</w:t>
      </w:r>
      <w:r w:rsidR="00F956B2">
        <w:rPr>
          <w:sz w:val="22"/>
          <w:szCs w:val="22"/>
        </w:rPr>
        <w:t xml:space="preserve">) </w:t>
      </w:r>
      <w:r w:rsidR="005C5317">
        <w:rPr>
          <w:sz w:val="22"/>
          <w:szCs w:val="22"/>
        </w:rPr>
        <w:t>M</w:t>
      </w:r>
      <w:r w:rsidR="00B437A3">
        <w:rPr>
          <w:sz w:val="22"/>
          <w:szCs w:val="22"/>
        </w:rPr>
        <w:t xml:space="preserve">attress </w:t>
      </w:r>
      <w:r w:rsidR="005C5317">
        <w:rPr>
          <w:sz w:val="22"/>
          <w:szCs w:val="22"/>
        </w:rPr>
        <w:t>P</w:t>
      </w:r>
      <w:r w:rsidR="00B437A3">
        <w:rPr>
          <w:sz w:val="22"/>
          <w:szCs w:val="22"/>
        </w:rPr>
        <w:t>ad</w:t>
      </w:r>
      <w:r w:rsidR="000D290D" w:rsidRPr="00914EEE">
        <w:rPr>
          <w:sz w:val="22"/>
          <w:szCs w:val="22"/>
        </w:rPr>
        <w:t>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>Information required.</w:t>
      </w:r>
      <w:r w:rsidR="00D25155" w:rsidRPr="00914EEE">
        <w:rPr>
          <w:sz w:val="22"/>
          <w:szCs w:val="22"/>
        </w:rPr>
        <w:t xml:space="preserve"> No later than 180 days after the effective date of this </w:t>
      </w:r>
      <w:r w:rsidR="00FD05DC" w:rsidRPr="00914EEE">
        <w:rPr>
          <w:sz w:val="22"/>
          <w:szCs w:val="22"/>
        </w:rPr>
        <w:t>chapter</w:t>
      </w:r>
      <w:r w:rsidR="00D25155" w:rsidRPr="00914EEE">
        <w:rPr>
          <w:sz w:val="22"/>
          <w:szCs w:val="22"/>
        </w:rPr>
        <w:t xml:space="preserve">, </w:t>
      </w:r>
      <w:r w:rsidR="0050177F">
        <w:rPr>
          <w:sz w:val="22"/>
          <w:szCs w:val="22"/>
        </w:rPr>
        <w:t>the manufacturer of a</w:t>
      </w:r>
      <w:r w:rsidRPr="00914EEE">
        <w:rPr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 xml:space="preserve">children’s </w:t>
      </w:r>
      <w:r w:rsidRPr="00914EEE">
        <w:rPr>
          <w:sz w:val="22"/>
          <w:szCs w:val="22"/>
        </w:rPr>
        <w:t>product</w:t>
      </w:r>
      <w:r w:rsidR="006C04FC" w:rsidRPr="00914EEE">
        <w:rPr>
          <w:sz w:val="22"/>
          <w:szCs w:val="22"/>
        </w:rPr>
        <w:t>,</w:t>
      </w:r>
      <w:r w:rsidRPr="00914EEE">
        <w:rPr>
          <w:sz w:val="22"/>
          <w:szCs w:val="22"/>
        </w:rPr>
        <w:t xml:space="preserve"> </w:t>
      </w:r>
      <w:r w:rsidR="006C04FC" w:rsidRPr="00914EEE">
        <w:rPr>
          <w:sz w:val="22"/>
          <w:szCs w:val="22"/>
        </w:rPr>
        <w:t xml:space="preserve">which falls within the categories </w:t>
      </w:r>
      <w:r w:rsidRPr="00914EEE">
        <w:rPr>
          <w:sz w:val="22"/>
          <w:szCs w:val="22"/>
        </w:rPr>
        <w:t>listed in section 4(A) of this chapter</w:t>
      </w:r>
      <w:r w:rsidR="006C04FC" w:rsidRPr="00914EEE">
        <w:rPr>
          <w:sz w:val="22"/>
          <w:szCs w:val="22"/>
        </w:rPr>
        <w:t>,</w:t>
      </w:r>
      <w:r w:rsidR="004A4CCD" w:rsidRPr="00914EEE">
        <w:rPr>
          <w:sz w:val="22"/>
          <w:szCs w:val="22"/>
        </w:rPr>
        <w:t xml:space="preserve"> that contains intentionally </w:t>
      </w:r>
      <w:r w:rsidRPr="00914EEE">
        <w:rPr>
          <w:sz w:val="22"/>
          <w:szCs w:val="22"/>
        </w:rPr>
        <w:t xml:space="preserve">added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B437A3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B437A3">
        <w:rPr>
          <w:sz w:val="22"/>
          <w:szCs w:val="22"/>
        </w:rPr>
        <w:t>etardants</w:t>
      </w:r>
      <w:r w:rsidR="00204402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shall report to the </w:t>
      </w:r>
      <w:r w:rsidR="006C04FC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>epartment the following information: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  <w:t>The name and address of the manufacturer and the name, address, and phone number of a contact person for the manufacturer;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Pr="00914EEE">
        <w:rPr>
          <w:sz w:val="22"/>
          <w:szCs w:val="22"/>
        </w:rPr>
        <w:tab/>
        <w:t xml:space="preserve">A description of the manufacturer’s product or products containing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etardants</w:t>
      </w:r>
      <w:r w:rsidR="00584C0E" w:rsidRPr="00914EEE">
        <w:rPr>
          <w:sz w:val="22"/>
          <w:szCs w:val="22"/>
        </w:rPr>
        <w:t xml:space="preserve">, including the overall size of the product and/or the component of the product that contains </w:t>
      </w:r>
      <w:r w:rsidR="00B82CCE" w:rsidRPr="00914EEE">
        <w:rPr>
          <w:sz w:val="22"/>
          <w:szCs w:val="22"/>
        </w:rPr>
        <w:t xml:space="preserve">the </w:t>
      </w:r>
      <w:r w:rsidR="00100555">
        <w:rPr>
          <w:sz w:val="22"/>
          <w:szCs w:val="22"/>
        </w:rPr>
        <w:t>R</w:t>
      </w:r>
      <w:r w:rsidR="00B82CCE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584C0E" w:rsidRPr="00914EEE">
        <w:rPr>
          <w:sz w:val="22"/>
          <w:szCs w:val="22"/>
        </w:rPr>
        <w:t xml:space="preserve"> and whether the product or </w:t>
      </w:r>
      <w:r w:rsidR="00100555">
        <w:rPr>
          <w:sz w:val="22"/>
          <w:szCs w:val="22"/>
        </w:rPr>
        <w:t>R</w:t>
      </w:r>
      <w:r w:rsidR="00B82CCE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584C0E" w:rsidRPr="00914EEE">
        <w:rPr>
          <w:sz w:val="22"/>
          <w:szCs w:val="22"/>
        </w:rPr>
        <w:t>-containing component of the prod</w:t>
      </w:r>
      <w:r w:rsidR="00940D9D" w:rsidRPr="00914EEE">
        <w:rPr>
          <w:sz w:val="22"/>
          <w:szCs w:val="22"/>
        </w:rPr>
        <w:t>uct</w:t>
      </w:r>
      <w:r w:rsidR="00643173" w:rsidRPr="00914EEE">
        <w:rPr>
          <w:sz w:val="22"/>
          <w:szCs w:val="22"/>
        </w:rPr>
        <w:t xml:space="preserve"> can be placed in the mouth (i</w:t>
      </w:r>
      <w:r w:rsidR="00584C0E" w:rsidRPr="00914EEE">
        <w:rPr>
          <w:sz w:val="22"/>
          <w:szCs w:val="22"/>
        </w:rPr>
        <w:t>f a reportable item is smaller than 5 centimeters in one dimensi</w:t>
      </w:r>
      <w:r w:rsidR="00643173" w:rsidRPr="00914EEE">
        <w:rPr>
          <w:sz w:val="22"/>
          <w:szCs w:val="22"/>
        </w:rPr>
        <w:t>on, it is regarded as mouthable</w:t>
      </w:r>
      <w:r w:rsidR="00584C0E" w:rsidRPr="00914EEE">
        <w:rPr>
          <w:sz w:val="22"/>
          <w:szCs w:val="22"/>
        </w:rPr>
        <w:t>);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(3)</w:t>
      </w:r>
      <w:r w:rsidRPr="00914EEE">
        <w:rPr>
          <w:sz w:val="22"/>
          <w:szCs w:val="22"/>
        </w:rPr>
        <w:tab/>
        <w:t xml:space="preserve">The amount of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930D75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in each unit of the product</w:t>
      </w:r>
      <w:r w:rsidR="00584C0E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(4)</w:t>
      </w:r>
      <w:r w:rsidRPr="00914EEE">
        <w:rPr>
          <w:sz w:val="22"/>
          <w:szCs w:val="22"/>
        </w:rPr>
        <w:tab/>
        <w:t xml:space="preserve">The function of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930D75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in the product</w:t>
      </w:r>
      <w:r w:rsidR="00584C0E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(5)</w:t>
      </w:r>
      <w:r w:rsidRPr="00914EEE">
        <w:rPr>
          <w:sz w:val="22"/>
          <w:szCs w:val="22"/>
        </w:rPr>
        <w:tab/>
        <w:t>The number of product units sold or distributed in Maine or nationally</w:t>
      </w:r>
      <w:r w:rsidR="0050177F">
        <w:rPr>
          <w:sz w:val="22"/>
          <w:szCs w:val="22"/>
        </w:rPr>
        <w:t>,</w:t>
      </w:r>
      <w:r w:rsidR="00D57FA3" w:rsidRPr="00914EEE">
        <w:rPr>
          <w:sz w:val="22"/>
          <w:szCs w:val="22"/>
        </w:rPr>
        <w:t xml:space="preserve"> in accordance with </w:t>
      </w:r>
      <w:r w:rsidR="00072059" w:rsidRPr="00914EEE">
        <w:rPr>
          <w:sz w:val="22"/>
          <w:szCs w:val="22"/>
        </w:rPr>
        <w:t xml:space="preserve">Department </w:t>
      </w:r>
      <w:r w:rsidR="00C55D4F">
        <w:rPr>
          <w:sz w:val="22"/>
          <w:szCs w:val="22"/>
        </w:rPr>
        <w:t>R</w:t>
      </w:r>
      <w:r w:rsidR="00072059" w:rsidRPr="00914EEE">
        <w:rPr>
          <w:sz w:val="22"/>
          <w:szCs w:val="22"/>
        </w:rPr>
        <w:t xml:space="preserve">ule </w:t>
      </w:r>
      <w:r w:rsidR="00D57FA3" w:rsidRPr="00914EEE">
        <w:rPr>
          <w:sz w:val="22"/>
          <w:szCs w:val="22"/>
        </w:rPr>
        <w:t>0</w:t>
      </w:r>
      <w:r w:rsidR="006A10E0" w:rsidRPr="00914EEE">
        <w:rPr>
          <w:sz w:val="22"/>
          <w:szCs w:val="22"/>
        </w:rPr>
        <w:t>6-096 C</w:t>
      </w:r>
      <w:r w:rsidR="005C5317">
        <w:rPr>
          <w:sz w:val="22"/>
          <w:szCs w:val="22"/>
        </w:rPr>
        <w:t>.</w:t>
      </w:r>
      <w:r w:rsidR="006A10E0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6A10E0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6A10E0" w:rsidRPr="00914EEE">
        <w:rPr>
          <w:sz w:val="22"/>
          <w:szCs w:val="22"/>
        </w:rPr>
        <w:t xml:space="preserve"> </w:t>
      </w:r>
      <w:r w:rsidR="00924E83">
        <w:rPr>
          <w:sz w:val="22"/>
          <w:szCs w:val="22"/>
        </w:rPr>
        <w:t xml:space="preserve">ch. </w:t>
      </w:r>
      <w:r w:rsidR="006A10E0" w:rsidRPr="00914EEE">
        <w:rPr>
          <w:sz w:val="22"/>
          <w:szCs w:val="22"/>
        </w:rPr>
        <w:t>880</w:t>
      </w:r>
      <w:r w:rsidR="009022C3" w:rsidRPr="00914EEE">
        <w:rPr>
          <w:sz w:val="22"/>
          <w:szCs w:val="22"/>
        </w:rPr>
        <w:t>(5)</w:t>
      </w:r>
      <w:r w:rsidR="00EE080D" w:rsidRPr="00914EEE">
        <w:rPr>
          <w:sz w:val="22"/>
          <w:szCs w:val="22"/>
        </w:rPr>
        <w:t>(A)(2)</w:t>
      </w:r>
      <w:r w:rsidRPr="00914EEE">
        <w:rPr>
          <w:sz w:val="22"/>
          <w:szCs w:val="22"/>
        </w:rPr>
        <w:t>;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(6)</w:t>
      </w:r>
      <w:r w:rsidRPr="00914EEE">
        <w:rPr>
          <w:sz w:val="22"/>
          <w:szCs w:val="22"/>
        </w:rPr>
        <w:tab/>
        <w:t xml:space="preserve">Any </w:t>
      </w:r>
      <w:r w:rsidR="00D63AEB" w:rsidRPr="00914EEE">
        <w:rPr>
          <w:sz w:val="22"/>
          <w:szCs w:val="22"/>
        </w:rPr>
        <w:t xml:space="preserve">other information the manufacturer deems relevant to the reporting of the </w:t>
      </w:r>
      <w:r w:rsidR="00100555">
        <w:rPr>
          <w:sz w:val="22"/>
          <w:szCs w:val="22"/>
        </w:rPr>
        <w:t>R</w:t>
      </w:r>
      <w:r w:rsidR="00BD3E71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9022C3" w:rsidRPr="00914EEE">
        <w:rPr>
          <w:sz w:val="22"/>
          <w:szCs w:val="22"/>
        </w:rPr>
        <w:t>,</w:t>
      </w:r>
      <w:r w:rsidR="00D63AEB" w:rsidRPr="00914EEE">
        <w:rPr>
          <w:sz w:val="22"/>
          <w:szCs w:val="22"/>
        </w:rPr>
        <w:t xml:space="preserve"> such as relevant independent scientific study on exposure specific to the amount of </w:t>
      </w:r>
      <w:r w:rsidR="00100555">
        <w:rPr>
          <w:sz w:val="22"/>
          <w:szCs w:val="22"/>
        </w:rPr>
        <w:t>R</w:t>
      </w:r>
      <w:r w:rsidR="00BD3E71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930D75" w:rsidRPr="00914EEE">
        <w:rPr>
          <w:sz w:val="22"/>
          <w:szCs w:val="22"/>
        </w:rPr>
        <w:t xml:space="preserve"> </w:t>
      </w:r>
      <w:r w:rsidR="00D63AEB" w:rsidRPr="00914EEE">
        <w:rPr>
          <w:sz w:val="22"/>
          <w:szCs w:val="22"/>
        </w:rPr>
        <w:t>present in the finished product repo</w:t>
      </w:r>
      <w:r w:rsidR="00BD3E71" w:rsidRPr="00914EEE">
        <w:rPr>
          <w:sz w:val="22"/>
          <w:szCs w:val="22"/>
        </w:rPr>
        <w:t>rted or product of similar func</w:t>
      </w:r>
      <w:r w:rsidR="00D63AEB" w:rsidRPr="00914EEE">
        <w:rPr>
          <w:sz w:val="22"/>
          <w:szCs w:val="22"/>
        </w:rPr>
        <w:t>tionality</w:t>
      </w:r>
      <w:r w:rsidR="00BD3E71" w:rsidRPr="00914EE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="00BD3E71" w:rsidRPr="00914EEE">
        <w:rPr>
          <w:sz w:val="22"/>
          <w:szCs w:val="22"/>
        </w:rPr>
        <w:t>Such information may include</w:t>
      </w:r>
      <w:r w:rsidR="00DA1D5A" w:rsidRPr="00914EEE">
        <w:rPr>
          <w:sz w:val="22"/>
          <w:szCs w:val="22"/>
        </w:rPr>
        <w:t xml:space="preserve"> </w:t>
      </w:r>
      <w:r w:rsidR="00BD3E71" w:rsidRPr="00914EEE">
        <w:rPr>
          <w:sz w:val="22"/>
          <w:szCs w:val="22"/>
        </w:rPr>
        <w:t>an</w:t>
      </w:r>
      <w:r w:rsidR="00D63AEB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assessment that has already been performed by the manufacturer of the availability, cost, feasibility and/or performance, including potential for harm to human health and the environment, of alternatives to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930D75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and the reason </w:t>
      </w:r>
      <w:r w:rsidR="00100555">
        <w:rPr>
          <w:sz w:val="22"/>
          <w:szCs w:val="22"/>
        </w:rPr>
        <w:t>R</w:t>
      </w:r>
      <w:r w:rsidR="009A7352" w:rsidRPr="00914EEE">
        <w:rPr>
          <w:sz w:val="22"/>
          <w:szCs w:val="22"/>
        </w:rPr>
        <w:t xml:space="preserve">egulated </w:t>
      </w:r>
      <w:r w:rsidR="00100555">
        <w:rPr>
          <w:sz w:val="22"/>
          <w:szCs w:val="22"/>
        </w:rPr>
        <w:t>F</w:t>
      </w:r>
      <w:r w:rsidR="00930D75">
        <w:rPr>
          <w:sz w:val="22"/>
          <w:szCs w:val="22"/>
        </w:rPr>
        <w:t xml:space="preserve">lame </w:t>
      </w:r>
      <w:r w:rsidR="00100555">
        <w:rPr>
          <w:sz w:val="22"/>
          <w:szCs w:val="22"/>
        </w:rPr>
        <w:t>R</w:t>
      </w:r>
      <w:r w:rsidR="00930D75">
        <w:rPr>
          <w:sz w:val="22"/>
          <w:szCs w:val="22"/>
        </w:rPr>
        <w:t>etardant</w:t>
      </w:r>
      <w:r w:rsidR="00930D75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are used in the manufacture of the</w:t>
      </w:r>
      <w:r w:rsidR="00DA1D5A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 xml:space="preserve"> children's product in lieu of identified alternatives</w:t>
      </w:r>
      <w:r w:rsidR="00A64C03" w:rsidRPr="00914EEE">
        <w:rPr>
          <w:sz w:val="22"/>
          <w:szCs w:val="22"/>
        </w:rPr>
        <w:t>.</w:t>
      </w:r>
    </w:p>
    <w:p w:rsidR="00100555" w:rsidRPr="00914EEE" w:rsidRDefault="00100555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trike/>
          <w:sz w:val="22"/>
          <w:szCs w:val="22"/>
        </w:rPr>
      </w:pPr>
    </w:p>
    <w:p w:rsidR="002C0C99" w:rsidRPr="0050177F" w:rsidRDefault="00A64C0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C. </w:t>
      </w:r>
      <w:r w:rsidR="0050177F">
        <w:rPr>
          <w:b/>
          <w:sz w:val="22"/>
          <w:szCs w:val="22"/>
        </w:rPr>
        <w:tab/>
      </w:r>
      <w:r w:rsidR="00F11666">
        <w:rPr>
          <w:b/>
          <w:sz w:val="22"/>
          <w:szCs w:val="22"/>
        </w:rPr>
        <w:t>Information Not Submitted w</w:t>
      </w:r>
      <w:r w:rsidRPr="00914EEE">
        <w:rPr>
          <w:b/>
          <w:sz w:val="22"/>
          <w:szCs w:val="22"/>
        </w:rPr>
        <w:t xml:space="preserve">ithin 180-day </w:t>
      </w:r>
      <w:r w:rsidR="00AF2704" w:rsidRPr="00914EEE">
        <w:rPr>
          <w:b/>
          <w:sz w:val="22"/>
          <w:szCs w:val="22"/>
        </w:rPr>
        <w:t>Deadline</w:t>
      </w:r>
      <w:r w:rsidR="0050177F">
        <w:rPr>
          <w:b/>
          <w:sz w:val="22"/>
          <w:szCs w:val="22"/>
        </w:rPr>
        <w:t>.</w:t>
      </w:r>
      <w:r w:rsidR="00CE0ED3">
        <w:rPr>
          <w:b/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>If the sale of the regulated children’s product does not commence until after the 180-day reporting period ends, the written n</w:t>
      </w:r>
      <w:r w:rsidR="006B002E" w:rsidRPr="00914EEE">
        <w:rPr>
          <w:sz w:val="22"/>
          <w:szCs w:val="22"/>
        </w:rPr>
        <w:t xml:space="preserve">otice required under section 4(B) </w:t>
      </w:r>
      <w:r w:rsidR="002C0C99" w:rsidRPr="00914EEE">
        <w:rPr>
          <w:sz w:val="22"/>
          <w:szCs w:val="22"/>
        </w:rPr>
        <w:t xml:space="preserve">must be </w:t>
      </w:r>
      <w:r w:rsidR="004564A6" w:rsidRPr="00914EEE">
        <w:rPr>
          <w:sz w:val="22"/>
          <w:szCs w:val="22"/>
        </w:rPr>
        <w:t>submitted</w:t>
      </w:r>
      <w:r w:rsidR="002C0C99" w:rsidRPr="00914EEE">
        <w:rPr>
          <w:sz w:val="22"/>
          <w:szCs w:val="22"/>
        </w:rPr>
        <w:t xml:space="preserve"> within 30 days of the sale of the children’s product within the State of Maine.</w:t>
      </w:r>
      <w:r w:rsidR="00CE0ED3">
        <w:rPr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>Failure to provide the required information to the Department by the date required may result in enforcement ac</w:t>
      </w:r>
      <w:r w:rsidR="00E27568" w:rsidRPr="00914EEE">
        <w:rPr>
          <w:sz w:val="22"/>
          <w:szCs w:val="22"/>
        </w:rPr>
        <w:t>tion consistent with 38 M.R.S.</w:t>
      </w:r>
      <w:r w:rsidR="002C0C99"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>§</w:t>
      </w:r>
      <w:r w:rsidR="002C0C99" w:rsidRPr="00914EEE">
        <w:rPr>
          <w:sz w:val="22"/>
          <w:szCs w:val="22"/>
        </w:rPr>
        <w:t>1699-A.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:rsidR="00B442ED" w:rsidRPr="00914EEE" w:rsidRDefault="002650CF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 xml:space="preserve">: </w:t>
      </w:r>
      <w:r w:rsidR="008C4768" w:rsidRPr="00914EEE">
        <w:rPr>
          <w:sz w:val="22"/>
          <w:szCs w:val="22"/>
        </w:rPr>
        <w:t xml:space="preserve">A regulated entity may request a waiver of the reporting requirements in this chapter for reasons set forth in Department </w:t>
      </w:r>
      <w:r w:rsidR="00C55D4F">
        <w:rPr>
          <w:sz w:val="22"/>
          <w:szCs w:val="22"/>
        </w:rPr>
        <w:t>R</w:t>
      </w:r>
      <w:r w:rsidR="008C4768" w:rsidRPr="00914EEE">
        <w:rPr>
          <w:sz w:val="22"/>
          <w:szCs w:val="22"/>
        </w:rPr>
        <w:t>ule 06-096 C</w:t>
      </w:r>
      <w:r w:rsidR="005C5317">
        <w:rPr>
          <w:sz w:val="22"/>
          <w:szCs w:val="22"/>
        </w:rPr>
        <w:t>.</w:t>
      </w:r>
      <w:r w:rsidR="008C4768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8C4768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8C4768" w:rsidRPr="00914EEE">
        <w:rPr>
          <w:sz w:val="22"/>
          <w:szCs w:val="22"/>
        </w:rPr>
        <w:t xml:space="preserve"> </w:t>
      </w:r>
      <w:r w:rsidR="00851DA9">
        <w:rPr>
          <w:sz w:val="22"/>
          <w:szCs w:val="22"/>
        </w:rPr>
        <w:t xml:space="preserve">ch. </w:t>
      </w:r>
      <w:r w:rsidR="008C4768" w:rsidRPr="00914EEE">
        <w:rPr>
          <w:sz w:val="22"/>
          <w:szCs w:val="22"/>
        </w:rPr>
        <w:t>880(5)(C).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Upon review of information submitted pursuant to this chapter</w:t>
      </w:r>
      <w:r w:rsidR="00C00E52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the commissioner may request that a manufacturer clarify the submittal, supplement incomplete information or provide additional information not specified in this chapter if the commissioner determines that the information is needed for the </w:t>
      </w:r>
      <w:r w:rsidR="009F7FBE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>epartment to complete its evaluation of the priority chemical.</w:t>
      </w:r>
      <w:r w:rsidR="00CE0ED3">
        <w:rPr>
          <w:sz w:val="22"/>
          <w:szCs w:val="22"/>
        </w:rPr>
        <w:t xml:space="preserve"> </w:t>
      </w:r>
      <w:r w:rsidR="00E01AA5" w:rsidRPr="00914EEE">
        <w:rPr>
          <w:sz w:val="22"/>
          <w:szCs w:val="22"/>
        </w:rPr>
        <w:t xml:space="preserve">See </w:t>
      </w:r>
      <w:r w:rsidR="006D00E1" w:rsidRPr="00914EEE">
        <w:rPr>
          <w:sz w:val="22"/>
          <w:szCs w:val="22"/>
        </w:rPr>
        <w:t xml:space="preserve">Department </w:t>
      </w:r>
      <w:r w:rsidR="00C55D4F">
        <w:rPr>
          <w:sz w:val="22"/>
          <w:szCs w:val="22"/>
        </w:rPr>
        <w:t>R</w:t>
      </w:r>
      <w:r w:rsidR="00E01AA5" w:rsidRPr="00914EEE">
        <w:rPr>
          <w:sz w:val="22"/>
          <w:szCs w:val="22"/>
        </w:rPr>
        <w:t>ule</w:t>
      </w:r>
      <w:r w:rsidR="00E01AA5" w:rsidRPr="00914EEE">
        <w:rPr>
          <w:strike/>
          <w:sz w:val="22"/>
          <w:szCs w:val="22"/>
        </w:rPr>
        <w:t>s</w:t>
      </w:r>
      <w:r w:rsidRPr="00914EEE">
        <w:rPr>
          <w:sz w:val="22"/>
          <w:szCs w:val="22"/>
        </w:rPr>
        <w:t>, 06-096 C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 xml:space="preserve"> </w:t>
      </w:r>
      <w:r w:rsidR="00924E83">
        <w:rPr>
          <w:sz w:val="22"/>
          <w:szCs w:val="22"/>
        </w:rPr>
        <w:t xml:space="preserve">ch. </w:t>
      </w:r>
      <w:r w:rsidRPr="00914EEE">
        <w:rPr>
          <w:sz w:val="22"/>
          <w:szCs w:val="22"/>
        </w:rPr>
        <w:t>880(</w:t>
      </w:r>
      <w:r w:rsidR="00791750" w:rsidRPr="00914EEE">
        <w:rPr>
          <w:sz w:val="22"/>
          <w:szCs w:val="22"/>
        </w:rPr>
        <w:t>5</w:t>
      </w:r>
      <w:r w:rsidRPr="00914EEE">
        <w:rPr>
          <w:sz w:val="22"/>
          <w:szCs w:val="22"/>
        </w:rPr>
        <w:t>)(D); see also 38 M</w:t>
      </w:r>
      <w:r w:rsidR="00DE105D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DE105D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>S</w:t>
      </w:r>
      <w:r w:rsidR="00DE105D" w:rsidRPr="00914EEE">
        <w:rPr>
          <w:sz w:val="22"/>
          <w:szCs w:val="22"/>
        </w:rPr>
        <w:t xml:space="preserve">. </w:t>
      </w:r>
      <w:r w:rsidR="00CE0ED3">
        <w:rPr>
          <w:sz w:val="22"/>
          <w:szCs w:val="22"/>
        </w:rPr>
        <w:t>§</w:t>
      </w:r>
      <w:r w:rsidRPr="00914EEE">
        <w:rPr>
          <w:sz w:val="22"/>
          <w:szCs w:val="22"/>
        </w:rPr>
        <w:t>1695(2).</w:t>
      </w:r>
    </w:p>
    <w:p w:rsidR="00924E83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5A1A11" w:rsidRPr="00914EEE" w:rsidRDefault="005A1A11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:rsidR="00B442ED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3656A7" w:rsidRPr="00914EEE">
        <w:rPr>
          <w:b/>
          <w:sz w:val="22"/>
          <w:szCs w:val="22"/>
        </w:rPr>
        <w:t xml:space="preserve">Reporting Fee. </w:t>
      </w:r>
      <w:r w:rsidR="003412D0" w:rsidRPr="00914EEE">
        <w:rPr>
          <w:sz w:val="22"/>
          <w:szCs w:val="22"/>
        </w:rPr>
        <w:t xml:space="preserve">A one-time reporting fee will </w:t>
      </w:r>
      <w:r w:rsidR="003E7836" w:rsidRPr="00914EEE">
        <w:rPr>
          <w:sz w:val="22"/>
          <w:szCs w:val="22"/>
        </w:rPr>
        <w:t xml:space="preserve">be </w:t>
      </w:r>
      <w:r w:rsidR="003412D0" w:rsidRPr="00914EEE">
        <w:rPr>
          <w:sz w:val="22"/>
          <w:szCs w:val="22"/>
        </w:rPr>
        <w:t xml:space="preserve">assessed in accordance with Department </w:t>
      </w:r>
      <w:r w:rsidR="00C55D4F">
        <w:rPr>
          <w:sz w:val="22"/>
          <w:szCs w:val="22"/>
        </w:rPr>
        <w:t>R</w:t>
      </w:r>
      <w:r w:rsidR="003412D0" w:rsidRPr="00914EEE">
        <w:rPr>
          <w:sz w:val="22"/>
          <w:szCs w:val="22"/>
        </w:rPr>
        <w:t>ule, 06</w:t>
      </w:r>
      <w:r>
        <w:rPr>
          <w:sz w:val="22"/>
          <w:szCs w:val="22"/>
        </w:rPr>
        <w:noBreakHyphen/>
      </w:r>
      <w:r w:rsidR="003412D0" w:rsidRPr="00914EEE">
        <w:rPr>
          <w:sz w:val="22"/>
          <w:szCs w:val="22"/>
        </w:rPr>
        <w:t>096 C</w:t>
      </w:r>
      <w:r w:rsidR="005C5317">
        <w:rPr>
          <w:sz w:val="22"/>
          <w:szCs w:val="22"/>
        </w:rPr>
        <w:t>.</w:t>
      </w:r>
      <w:r w:rsidR="003412D0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3412D0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3412D0" w:rsidRPr="00914E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ch. </w:t>
      </w:r>
      <w:r w:rsidR="003412D0" w:rsidRPr="00914EEE">
        <w:rPr>
          <w:sz w:val="22"/>
          <w:szCs w:val="22"/>
        </w:rPr>
        <w:t>881(3).</w:t>
      </w:r>
      <w:r w:rsidR="003656A7" w:rsidRPr="00914EEE" w:rsidDel="003656A7">
        <w:rPr>
          <w:b/>
          <w:sz w:val="22"/>
          <w:szCs w:val="22"/>
        </w:rPr>
        <w:t xml:space="preserve"> 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270"/>
        <w:rPr>
          <w:sz w:val="22"/>
          <w:szCs w:val="22"/>
        </w:rPr>
      </w:pPr>
    </w:p>
    <w:p w:rsidR="00B442ED" w:rsidRPr="00914EEE" w:rsidRDefault="00A63EF2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 w:rsidRPr="00503064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</w:t>
      </w:r>
      <w:r w:rsidR="00CE0ED3">
        <w:rPr>
          <w:sz w:val="22"/>
          <w:szCs w:val="22"/>
        </w:rPr>
        <w:t xml:space="preserve"> </w:t>
      </w:r>
      <w:r w:rsidR="00352F1D" w:rsidRPr="00914EEE">
        <w:rPr>
          <w:sz w:val="22"/>
          <w:szCs w:val="22"/>
        </w:rPr>
        <w:t>Any person wishing to contest the amount of a fee imposed under this section must pay the fee by the due date specified in the</w:t>
      </w:r>
      <w:r w:rsidR="00352F1D" w:rsidRPr="0050177F">
        <w:rPr>
          <w:sz w:val="22"/>
          <w:szCs w:val="22"/>
        </w:rPr>
        <w:t xml:space="preserve"> </w:t>
      </w:r>
      <w:r w:rsidR="00DD148A" w:rsidRPr="0050177F">
        <w:rPr>
          <w:sz w:val="22"/>
          <w:szCs w:val="22"/>
        </w:rPr>
        <w:t>D</w:t>
      </w:r>
      <w:r w:rsidR="00352F1D" w:rsidRPr="0050177F">
        <w:rPr>
          <w:sz w:val="22"/>
          <w:szCs w:val="22"/>
        </w:rPr>
        <w:t xml:space="preserve">epartment </w:t>
      </w:r>
      <w:r w:rsidR="00352F1D" w:rsidRPr="00914EEE">
        <w:rPr>
          <w:sz w:val="22"/>
          <w:szCs w:val="22"/>
        </w:rPr>
        <w:t xml:space="preserve">invoice and file </w:t>
      </w:r>
      <w:r w:rsidR="00671B11">
        <w:rPr>
          <w:sz w:val="22"/>
          <w:szCs w:val="22"/>
        </w:rPr>
        <w:t>a petition in writing with the C</w:t>
      </w:r>
      <w:r w:rsidR="00352F1D" w:rsidRPr="00914EEE">
        <w:rPr>
          <w:sz w:val="22"/>
          <w:szCs w:val="22"/>
        </w:rPr>
        <w:t xml:space="preserve">ommissioner requesting a refund. See </w:t>
      </w:r>
      <w:r w:rsidR="00DD148A" w:rsidRPr="00914EEE">
        <w:rPr>
          <w:sz w:val="22"/>
          <w:szCs w:val="22"/>
        </w:rPr>
        <w:t>D</w:t>
      </w:r>
      <w:r w:rsidR="00352F1D" w:rsidRPr="00914EEE">
        <w:rPr>
          <w:sz w:val="22"/>
          <w:szCs w:val="22"/>
        </w:rPr>
        <w:t xml:space="preserve">epartment </w:t>
      </w:r>
      <w:r w:rsidR="00C55D4F">
        <w:rPr>
          <w:sz w:val="22"/>
          <w:szCs w:val="22"/>
        </w:rPr>
        <w:t>R</w:t>
      </w:r>
      <w:r w:rsidR="00352F1D" w:rsidRPr="00914EEE">
        <w:rPr>
          <w:sz w:val="22"/>
          <w:szCs w:val="22"/>
        </w:rPr>
        <w:t>ule</w:t>
      </w:r>
      <w:r w:rsidR="00352F1D" w:rsidRPr="00914EEE">
        <w:rPr>
          <w:strike/>
          <w:sz w:val="22"/>
          <w:szCs w:val="22"/>
        </w:rPr>
        <w:t>s</w:t>
      </w:r>
      <w:r w:rsidR="00352F1D" w:rsidRPr="00914EEE">
        <w:rPr>
          <w:sz w:val="22"/>
          <w:szCs w:val="22"/>
        </w:rPr>
        <w:t>, 06-096 C</w:t>
      </w:r>
      <w:r w:rsidR="005C5317">
        <w:rPr>
          <w:sz w:val="22"/>
          <w:szCs w:val="22"/>
        </w:rPr>
        <w:t>.</w:t>
      </w:r>
      <w:r w:rsidR="00352F1D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352F1D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352F1D" w:rsidRPr="00914EEE">
        <w:rPr>
          <w:sz w:val="22"/>
          <w:szCs w:val="22"/>
        </w:rPr>
        <w:t xml:space="preserve"> </w:t>
      </w:r>
      <w:r w:rsidR="00503064">
        <w:rPr>
          <w:sz w:val="22"/>
          <w:szCs w:val="22"/>
        </w:rPr>
        <w:t xml:space="preserve">ch. </w:t>
      </w:r>
      <w:r w:rsidR="00352F1D" w:rsidRPr="00914EEE">
        <w:rPr>
          <w:sz w:val="22"/>
          <w:szCs w:val="22"/>
        </w:rPr>
        <w:t>881(6).</w:t>
      </w:r>
    </w:p>
    <w:p w:rsidR="00503064" w:rsidRPr="00914EEE" w:rsidRDefault="00503064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:rsidR="00B442ED" w:rsidRPr="00914EEE" w:rsidRDefault="003656A7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6</w:t>
      </w:r>
      <w:r w:rsidR="002650CF" w:rsidRPr="00914EEE">
        <w:rPr>
          <w:b/>
          <w:sz w:val="22"/>
          <w:szCs w:val="22"/>
        </w:rPr>
        <w:t>.</w:t>
      </w:r>
      <w:r w:rsidR="002650CF" w:rsidRPr="00914EEE">
        <w:rPr>
          <w:b/>
          <w:sz w:val="22"/>
          <w:szCs w:val="22"/>
        </w:rPr>
        <w:tab/>
        <w:t>Department Address</w:t>
      </w:r>
      <w:r w:rsidR="002650CF" w:rsidRPr="00914EEE">
        <w:rPr>
          <w:sz w:val="22"/>
          <w:szCs w:val="22"/>
        </w:rPr>
        <w:t xml:space="preserve">. Information submissions may be made by regular or electronic mail. The department may provide electronic or paper reporting forms. Use the following address to send all non-electronic correspondence to the </w:t>
      </w:r>
      <w:r w:rsidR="00DD148A" w:rsidRPr="00914EEE">
        <w:rPr>
          <w:sz w:val="22"/>
          <w:szCs w:val="22"/>
        </w:rPr>
        <w:t>D</w:t>
      </w:r>
      <w:r w:rsidR="002650CF" w:rsidRPr="00914EEE">
        <w:rPr>
          <w:sz w:val="22"/>
          <w:szCs w:val="22"/>
        </w:rPr>
        <w:t>epartment: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</w:p>
    <w:p w:rsidR="00FD452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Maine Department of Environmental Protection</w:t>
      </w: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Safer Chemicals Program</w:t>
      </w: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17 State House Station</w:t>
      </w:r>
    </w:p>
    <w:p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Augusta, ME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04333</w:t>
      </w:r>
    </w:p>
    <w:p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</w:p>
    <w:p w:rsidR="00B442ED" w:rsidRPr="00914EEE" w:rsidRDefault="002650CF" w:rsidP="00CE0ED3">
      <w:pPr>
        <w:widowControl w:val="0"/>
        <w:pBdr>
          <w:top w:val="single" w:sz="4" w:space="0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503064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 Electronic reporting forms and/or email addresses for reporting will be provided at:</w:t>
      </w:r>
    </w:p>
    <w:p w:rsidR="00B442ED" w:rsidRPr="00503064" w:rsidRDefault="00C44C30" w:rsidP="00CE0ED3">
      <w:pPr>
        <w:widowControl w:val="0"/>
        <w:pBdr>
          <w:top w:val="single" w:sz="4" w:space="0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color w:val="5039FD"/>
          <w:sz w:val="22"/>
          <w:szCs w:val="22"/>
        </w:rPr>
      </w:pPr>
      <w:hyperlink r:id="rId10" w:history="1">
        <w:r w:rsidR="003412D0" w:rsidRPr="00503064">
          <w:rPr>
            <w:rStyle w:val="Hyperlink"/>
            <w:color w:val="5039FD"/>
            <w:sz w:val="22"/>
            <w:u w:val="none"/>
          </w:rPr>
          <w:t>http://www.maine.gov/dep/safechem/index.html</w:t>
        </w:r>
      </w:hyperlink>
      <w:r w:rsidR="003412D0" w:rsidRPr="00503064">
        <w:rPr>
          <w:color w:val="5039FD"/>
          <w:sz w:val="22"/>
        </w:rPr>
        <w:t xml:space="preserve"> </w:t>
      </w:r>
      <w:r w:rsidR="008562FA">
        <w:rPr>
          <w:color w:val="5039FD"/>
          <w:sz w:val="22"/>
        </w:rPr>
        <w:t>.</w:t>
      </w:r>
    </w:p>
    <w:p w:rsidR="00503064" w:rsidRDefault="00503064" w:rsidP="008562FA">
      <w:pPr>
        <w:widowControl w:val="0"/>
        <w:pBdr>
          <w:bottom w:val="single" w:sz="4" w:space="1" w:color="auto"/>
        </w:pBdr>
        <w:rPr>
          <w:sz w:val="22"/>
          <w:szCs w:val="22"/>
        </w:rPr>
      </w:pPr>
    </w:p>
    <w:p w:rsidR="00503064" w:rsidRDefault="00503064" w:rsidP="009F31DF">
      <w:pPr>
        <w:widowControl w:val="0"/>
        <w:rPr>
          <w:sz w:val="22"/>
          <w:szCs w:val="22"/>
        </w:rPr>
      </w:pPr>
    </w:p>
    <w:p w:rsidR="008562FA" w:rsidRPr="00914EEE" w:rsidRDefault="008562FA" w:rsidP="009F31DF">
      <w:pPr>
        <w:widowControl w:val="0"/>
        <w:rPr>
          <w:sz w:val="22"/>
          <w:szCs w:val="22"/>
        </w:rPr>
      </w:pPr>
    </w:p>
    <w:p w:rsidR="00B442ED" w:rsidRDefault="00DE105D" w:rsidP="009F31DF">
      <w:pPr>
        <w:widowControl w:val="0"/>
        <w:rPr>
          <w:sz w:val="22"/>
          <w:szCs w:val="22"/>
        </w:rPr>
      </w:pPr>
      <w:r w:rsidRPr="00914EEE">
        <w:rPr>
          <w:sz w:val="22"/>
          <w:szCs w:val="22"/>
        </w:rPr>
        <w:t>STATUTORY AUTHORITY: 38 M.R.S.</w:t>
      </w:r>
      <w:r w:rsidR="002650CF" w:rsidRPr="00914EEE">
        <w:rPr>
          <w:sz w:val="22"/>
          <w:szCs w:val="22"/>
        </w:rPr>
        <w:t xml:space="preserve"> §§ 1691 through 1699-B</w:t>
      </w:r>
    </w:p>
    <w:p w:rsidR="00503064" w:rsidRDefault="00503064" w:rsidP="009F31DF">
      <w:pPr>
        <w:widowControl w:val="0"/>
        <w:rPr>
          <w:sz w:val="22"/>
          <w:szCs w:val="22"/>
        </w:rPr>
      </w:pPr>
    </w:p>
    <w:p w:rsidR="00503064" w:rsidRDefault="00503064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EFFECTIVE DATE:</w:t>
      </w:r>
    </w:p>
    <w:p w:rsidR="00B70E90" w:rsidRDefault="00B70E90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March 4, 2017 – filing 2017-029</w:t>
      </w:r>
    </w:p>
    <w:p w:rsidR="00B70E90" w:rsidRPr="00C52A6C" w:rsidRDefault="00B70E90" w:rsidP="009F31DF">
      <w:pPr>
        <w:widowControl w:val="0"/>
        <w:rPr>
          <w:sz w:val="22"/>
          <w:szCs w:val="22"/>
        </w:rPr>
      </w:pPr>
    </w:p>
    <w:sectPr w:rsidR="00B70E90" w:rsidRPr="00C52A6C" w:rsidSect="00FD452E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1E" w:rsidRDefault="004E3F1E">
      <w:r>
        <w:separator/>
      </w:r>
    </w:p>
  </w:endnote>
  <w:endnote w:type="continuationSeparator" w:id="0">
    <w:p w:rsidR="004E3F1E" w:rsidRDefault="004E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D3" w:rsidRDefault="00CE0ED3" w:rsidP="00BE7715">
    <w:pPr>
      <w:pStyle w:val="Footer"/>
      <w:pBdr>
        <w:top w:val="single" w:sz="4" w:space="0" w:color="auto"/>
      </w:pBdr>
      <w:jc w:val="center"/>
      <w:rPr>
        <w:sz w:val="18"/>
        <w:szCs w:val="18"/>
      </w:rPr>
    </w:pPr>
  </w:p>
  <w:p w:rsidR="009F31DF" w:rsidRPr="00CE0ED3" w:rsidRDefault="00405040" w:rsidP="00BE7715">
    <w:pPr>
      <w:pStyle w:val="Footer"/>
      <w:pBdr>
        <w:top w:val="single" w:sz="4" w:space="0" w:color="auto"/>
      </w:pBdr>
      <w:jc w:val="center"/>
      <w:rPr>
        <w:sz w:val="18"/>
        <w:szCs w:val="18"/>
      </w:rPr>
    </w:pPr>
    <w:r>
      <w:rPr>
        <w:sz w:val="18"/>
        <w:szCs w:val="18"/>
      </w:rPr>
      <w:t>Chapter 889</w:t>
    </w:r>
    <w:r w:rsidR="009F31DF" w:rsidRPr="00CE0ED3">
      <w:rPr>
        <w:sz w:val="18"/>
        <w:szCs w:val="18"/>
      </w:rPr>
      <w:t>:</w:t>
    </w:r>
    <w:r w:rsidR="00CE0ED3">
      <w:rPr>
        <w:sz w:val="18"/>
        <w:szCs w:val="18"/>
      </w:rPr>
      <w:t xml:space="preserve"> </w:t>
    </w:r>
    <w:r w:rsidR="009F31DF" w:rsidRPr="00CE0ED3">
      <w:rPr>
        <w:sz w:val="18"/>
        <w:szCs w:val="18"/>
      </w:rPr>
      <w:t xml:space="preserve">Designation of </w:t>
    </w:r>
    <w:r w:rsidR="004B77A0">
      <w:rPr>
        <w:sz w:val="18"/>
        <w:szCs w:val="18"/>
      </w:rPr>
      <w:t>Two</w:t>
    </w:r>
    <w:r w:rsidR="009F31DF" w:rsidRPr="00CE0ED3">
      <w:rPr>
        <w:sz w:val="18"/>
        <w:szCs w:val="18"/>
      </w:rPr>
      <w:t xml:space="preserve"> </w:t>
    </w:r>
    <w:r w:rsidR="00975563">
      <w:rPr>
        <w:sz w:val="18"/>
        <w:szCs w:val="18"/>
      </w:rPr>
      <w:t>Flame Retardants</w:t>
    </w:r>
    <w:r w:rsidR="009F31DF" w:rsidRPr="00CE0ED3">
      <w:rPr>
        <w:sz w:val="18"/>
        <w:szCs w:val="18"/>
      </w:rPr>
      <w:t xml:space="preserve"> as Priority Chemicals</w:t>
    </w:r>
  </w:p>
  <w:p w:rsidR="009F31DF" w:rsidRPr="00CE0ED3" w:rsidRDefault="009F31DF" w:rsidP="00BE7715">
    <w:pPr>
      <w:pStyle w:val="Footer"/>
      <w:jc w:val="center"/>
      <w:rPr>
        <w:rStyle w:val="PageNumber"/>
        <w:sz w:val="8"/>
        <w:szCs w:val="8"/>
      </w:rPr>
    </w:pPr>
  </w:p>
  <w:p w:rsidR="009F31DF" w:rsidRPr="00CE0ED3" w:rsidRDefault="009F31DF" w:rsidP="00BE7715">
    <w:pPr>
      <w:pStyle w:val="Footer"/>
      <w:jc w:val="center"/>
      <w:rPr>
        <w:sz w:val="18"/>
        <w:szCs w:val="18"/>
      </w:rPr>
    </w:pPr>
    <w:r w:rsidRPr="00CE0ED3">
      <w:rPr>
        <w:rStyle w:val="PageNumber"/>
        <w:sz w:val="18"/>
        <w:szCs w:val="18"/>
      </w:rPr>
      <w:t xml:space="preserve">- </w:t>
    </w:r>
    <w:r w:rsidRPr="00CE0ED3">
      <w:rPr>
        <w:rStyle w:val="PageNumber"/>
        <w:sz w:val="18"/>
        <w:szCs w:val="18"/>
      </w:rPr>
      <w:fldChar w:fldCharType="begin"/>
    </w:r>
    <w:r w:rsidRPr="00CE0ED3">
      <w:rPr>
        <w:rStyle w:val="PageNumber"/>
        <w:sz w:val="18"/>
        <w:szCs w:val="18"/>
      </w:rPr>
      <w:instrText xml:space="preserve"> PAGE </w:instrText>
    </w:r>
    <w:r w:rsidRPr="00CE0ED3">
      <w:rPr>
        <w:rStyle w:val="PageNumber"/>
        <w:sz w:val="18"/>
        <w:szCs w:val="18"/>
      </w:rPr>
      <w:fldChar w:fldCharType="separate"/>
    </w:r>
    <w:r w:rsidR="00C44C30">
      <w:rPr>
        <w:rStyle w:val="PageNumber"/>
        <w:noProof/>
        <w:sz w:val="18"/>
        <w:szCs w:val="18"/>
      </w:rPr>
      <w:t>2</w:t>
    </w:r>
    <w:r w:rsidRPr="00CE0ED3">
      <w:rPr>
        <w:rStyle w:val="PageNumber"/>
        <w:sz w:val="18"/>
        <w:szCs w:val="18"/>
      </w:rPr>
      <w:fldChar w:fldCharType="end"/>
    </w:r>
    <w:r w:rsidRPr="00CE0ED3">
      <w:rPr>
        <w:rStyle w:val="PageNumber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1E" w:rsidRDefault="004E3F1E">
      <w:r>
        <w:separator/>
      </w:r>
    </w:p>
  </w:footnote>
  <w:footnote w:type="continuationSeparator" w:id="0">
    <w:p w:rsidR="004E3F1E" w:rsidRDefault="004E3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2E" w:rsidRPr="00FD452E" w:rsidRDefault="00FD452E" w:rsidP="00FD452E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FD452E">
      <w:rPr>
        <w:sz w:val="18"/>
        <w:szCs w:val="18"/>
      </w:rPr>
      <w:t>06-096 Chapter 889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DF" w:rsidRPr="00D77148" w:rsidRDefault="009F31DF" w:rsidP="00BE771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54C"/>
    <w:multiLevelType w:val="multilevel"/>
    <w:tmpl w:val="114E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63698"/>
    <w:multiLevelType w:val="multilevel"/>
    <w:tmpl w:val="1080545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1198226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3">
    <w:nsid w:val="140A7303"/>
    <w:multiLevelType w:val="hybridMultilevel"/>
    <w:tmpl w:val="143ED0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D41330"/>
    <w:multiLevelType w:val="multilevel"/>
    <w:tmpl w:val="D1A65CD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5">
    <w:nsid w:val="285F05DC"/>
    <w:multiLevelType w:val="hybridMultilevel"/>
    <w:tmpl w:val="99108E4C"/>
    <w:lvl w:ilvl="0" w:tplc="7468384C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D3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7">
    <w:nsid w:val="3362716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8">
    <w:nsid w:val="34F712CF"/>
    <w:multiLevelType w:val="hybridMultilevel"/>
    <w:tmpl w:val="6D862654"/>
    <w:lvl w:ilvl="0" w:tplc="D43691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B170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0">
    <w:nsid w:val="414F3637"/>
    <w:multiLevelType w:val="hybridMultilevel"/>
    <w:tmpl w:val="E19231D0"/>
    <w:lvl w:ilvl="0" w:tplc="32D21E5C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D42365"/>
    <w:multiLevelType w:val="hybridMultilevel"/>
    <w:tmpl w:val="FC8875D2"/>
    <w:lvl w:ilvl="0" w:tplc="32D21E5C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04D9F"/>
    <w:multiLevelType w:val="hybridMultilevel"/>
    <w:tmpl w:val="C70824D4"/>
    <w:lvl w:ilvl="0" w:tplc="70783B1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DD94BF3"/>
    <w:multiLevelType w:val="hybridMultilevel"/>
    <w:tmpl w:val="673ABB2A"/>
    <w:lvl w:ilvl="0" w:tplc="E5E403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A41F2A"/>
    <w:multiLevelType w:val="hybridMultilevel"/>
    <w:tmpl w:val="A520418E"/>
    <w:lvl w:ilvl="0" w:tplc="E5E403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14B3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6">
    <w:nsid w:val="56A65AB0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7">
    <w:nsid w:val="68BB120F"/>
    <w:multiLevelType w:val="hybridMultilevel"/>
    <w:tmpl w:val="1080545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>
    <w:nsid w:val="6D356505"/>
    <w:multiLevelType w:val="multilevel"/>
    <w:tmpl w:val="673ABB2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F01F4"/>
    <w:multiLevelType w:val="multilevel"/>
    <w:tmpl w:val="338AA138"/>
    <w:lvl w:ilvl="0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62"/>
        </w:tabs>
        <w:ind w:left="25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22"/>
        </w:tabs>
        <w:ind w:left="29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2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42"/>
        </w:tabs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02"/>
        </w:tabs>
        <w:ind w:left="40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62"/>
        </w:tabs>
        <w:ind w:left="4362" w:hanging="360"/>
      </w:pPr>
      <w:rPr>
        <w:rFonts w:hint="default"/>
      </w:rPr>
    </w:lvl>
  </w:abstractNum>
  <w:abstractNum w:abstractNumId="20">
    <w:nsid w:val="761C57EC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1E768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7"/>
  </w:num>
  <w:num w:numId="9">
    <w:abstractNumId w:val="2"/>
  </w:num>
  <w:num w:numId="10">
    <w:abstractNumId w:val="20"/>
  </w:num>
  <w:num w:numId="11">
    <w:abstractNumId w:val="6"/>
  </w:num>
  <w:num w:numId="12">
    <w:abstractNumId w:val="15"/>
  </w:num>
  <w:num w:numId="13">
    <w:abstractNumId w:val="12"/>
  </w:num>
  <w:num w:numId="14">
    <w:abstractNumId w:val="21"/>
  </w:num>
  <w:num w:numId="15">
    <w:abstractNumId w:val="19"/>
  </w:num>
  <w:num w:numId="16">
    <w:abstractNumId w:val="9"/>
  </w:num>
  <w:num w:numId="17">
    <w:abstractNumId w:val="3"/>
  </w:num>
  <w:num w:numId="18">
    <w:abstractNumId w:val="4"/>
  </w:num>
  <w:num w:numId="19">
    <w:abstractNumId w:val="8"/>
  </w:num>
  <w:num w:numId="20">
    <w:abstractNumId w:val="13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CF"/>
    <w:rsid w:val="00006321"/>
    <w:rsid w:val="0001047E"/>
    <w:rsid w:val="00030C41"/>
    <w:rsid w:val="000418F5"/>
    <w:rsid w:val="00043530"/>
    <w:rsid w:val="00047B2F"/>
    <w:rsid w:val="00052371"/>
    <w:rsid w:val="00053EC2"/>
    <w:rsid w:val="00060F09"/>
    <w:rsid w:val="00072059"/>
    <w:rsid w:val="00073757"/>
    <w:rsid w:val="000863E9"/>
    <w:rsid w:val="00092A5D"/>
    <w:rsid w:val="000A2F21"/>
    <w:rsid w:val="000A6D70"/>
    <w:rsid w:val="000D16BB"/>
    <w:rsid w:val="000D290D"/>
    <w:rsid w:val="000D5296"/>
    <w:rsid w:val="00100555"/>
    <w:rsid w:val="00105AC9"/>
    <w:rsid w:val="00106593"/>
    <w:rsid w:val="0010753C"/>
    <w:rsid w:val="00130F23"/>
    <w:rsid w:val="00133155"/>
    <w:rsid w:val="00141FDB"/>
    <w:rsid w:val="0014362E"/>
    <w:rsid w:val="00155AE5"/>
    <w:rsid w:val="00157509"/>
    <w:rsid w:val="001660E8"/>
    <w:rsid w:val="00195800"/>
    <w:rsid w:val="001A6408"/>
    <w:rsid w:val="001C0561"/>
    <w:rsid w:val="001C284C"/>
    <w:rsid w:val="001D1B8E"/>
    <w:rsid w:val="001D7C01"/>
    <w:rsid w:val="001E792B"/>
    <w:rsid w:val="00204402"/>
    <w:rsid w:val="00214901"/>
    <w:rsid w:val="00225A4F"/>
    <w:rsid w:val="00234EC3"/>
    <w:rsid w:val="00237F7E"/>
    <w:rsid w:val="002650CF"/>
    <w:rsid w:val="00270F2A"/>
    <w:rsid w:val="00271F55"/>
    <w:rsid w:val="00286B1E"/>
    <w:rsid w:val="00290990"/>
    <w:rsid w:val="002965BA"/>
    <w:rsid w:val="002A64C5"/>
    <w:rsid w:val="002B036E"/>
    <w:rsid w:val="002B2BAC"/>
    <w:rsid w:val="002B6E63"/>
    <w:rsid w:val="002C0C99"/>
    <w:rsid w:val="002F2838"/>
    <w:rsid w:val="003044CF"/>
    <w:rsid w:val="003131BD"/>
    <w:rsid w:val="00316474"/>
    <w:rsid w:val="00331C73"/>
    <w:rsid w:val="00336F49"/>
    <w:rsid w:val="003412D0"/>
    <w:rsid w:val="00350445"/>
    <w:rsid w:val="00352F1D"/>
    <w:rsid w:val="003626E6"/>
    <w:rsid w:val="00362CD6"/>
    <w:rsid w:val="003656A7"/>
    <w:rsid w:val="003801CE"/>
    <w:rsid w:val="00390F9C"/>
    <w:rsid w:val="003957C6"/>
    <w:rsid w:val="003A2E59"/>
    <w:rsid w:val="003A3CBF"/>
    <w:rsid w:val="003B1B26"/>
    <w:rsid w:val="003D22C5"/>
    <w:rsid w:val="003E7836"/>
    <w:rsid w:val="003F2B27"/>
    <w:rsid w:val="00405040"/>
    <w:rsid w:val="004058C2"/>
    <w:rsid w:val="00411386"/>
    <w:rsid w:val="004130B5"/>
    <w:rsid w:val="00422698"/>
    <w:rsid w:val="004474EF"/>
    <w:rsid w:val="004564A6"/>
    <w:rsid w:val="00477C28"/>
    <w:rsid w:val="004958BB"/>
    <w:rsid w:val="004A2527"/>
    <w:rsid w:val="004A3BC1"/>
    <w:rsid w:val="004A4CCD"/>
    <w:rsid w:val="004B0125"/>
    <w:rsid w:val="004B2A76"/>
    <w:rsid w:val="004B39B4"/>
    <w:rsid w:val="004B77A0"/>
    <w:rsid w:val="004C0B14"/>
    <w:rsid w:val="004C2E5D"/>
    <w:rsid w:val="004E3F1E"/>
    <w:rsid w:val="00500688"/>
    <w:rsid w:val="0050177F"/>
    <w:rsid w:val="00503064"/>
    <w:rsid w:val="00516CC7"/>
    <w:rsid w:val="00565EA1"/>
    <w:rsid w:val="00571B23"/>
    <w:rsid w:val="00574496"/>
    <w:rsid w:val="00577263"/>
    <w:rsid w:val="00582593"/>
    <w:rsid w:val="00584C0E"/>
    <w:rsid w:val="00591C62"/>
    <w:rsid w:val="005978EF"/>
    <w:rsid w:val="005A1A11"/>
    <w:rsid w:val="005A67FE"/>
    <w:rsid w:val="005B2B0C"/>
    <w:rsid w:val="005C5317"/>
    <w:rsid w:val="005D225A"/>
    <w:rsid w:val="005D43E7"/>
    <w:rsid w:val="005D5554"/>
    <w:rsid w:val="005E69D3"/>
    <w:rsid w:val="00607667"/>
    <w:rsid w:val="00607BB6"/>
    <w:rsid w:val="0061424A"/>
    <w:rsid w:val="00620A8A"/>
    <w:rsid w:val="0062305A"/>
    <w:rsid w:val="00624D85"/>
    <w:rsid w:val="006356F3"/>
    <w:rsid w:val="006416F6"/>
    <w:rsid w:val="00643173"/>
    <w:rsid w:val="00646CD8"/>
    <w:rsid w:val="0064701B"/>
    <w:rsid w:val="00651B5E"/>
    <w:rsid w:val="0065780B"/>
    <w:rsid w:val="00671B11"/>
    <w:rsid w:val="00671EA5"/>
    <w:rsid w:val="00671FED"/>
    <w:rsid w:val="00680E3C"/>
    <w:rsid w:val="00695E43"/>
    <w:rsid w:val="006A0140"/>
    <w:rsid w:val="006A10E0"/>
    <w:rsid w:val="006B002E"/>
    <w:rsid w:val="006C04FC"/>
    <w:rsid w:val="006C6A15"/>
    <w:rsid w:val="006D00E1"/>
    <w:rsid w:val="006D3ABE"/>
    <w:rsid w:val="006E45AA"/>
    <w:rsid w:val="006F3AFA"/>
    <w:rsid w:val="0070114F"/>
    <w:rsid w:val="00714FB6"/>
    <w:rsid w:val="007323A0"/>
    <w:rsid w:val="00733AA4"/>
    <w:rsid w:val="0073484B"/>
    <w:rsid w:val="00750AF8"/>
    <w:rsid w:val="007766E5"/>
    <w:rsid w:val="00780D4C"/>
    <w:rsid w:val="00791750"/>
    <w:rsid w:val="00791E0E"/>
    <w:rsid w:val="0079263E"/>
    <w:rsid w:val="00796895"/>
    <w:rsid w:val="007A1460"/>
    <w:rsid w:val="007A6074"/>
    <w:rsid w:val="007B4B46"/>
    <w:rsid w:val="007C1545"/>
    <w:rsid w:val="007D1C98"/>
    <w:rsid w:val="007D623D"/>
    <w:rsid w:val="007E4303"/>
    <w:rsid w:val="007E7AD1"/>
    <w:rsid w:val="00802AB0"/>
    <w:rsid w:val="008063D2"/>
    <w:rsid w:val="00817AAB"/>
    <w:rsid w:val="00822903"/>
    <w:rsid w:val="00827B7F"/>
    <w:rsid w:val="00835014"/>
    <w:rsid w:val="0084551D"/>
    <w:rsid w:val="00851DA9"/>
    <w:rsid w:val="008562FA"/>
    <w:rsid w:val="0087092E"/>
    <w:rsid w:val="008C4768"/>
    <w:rsid w:val="008D0339"/>
    <w:rsid w:val="008D6691"/>
    <w:rsid w:val="008E1489"/>
    <w:rsid w:val="008E3FD0"/>
    <w:rsid w:val="008F1373"/>
    <w:rsid w:val="008F2B7F"/>
    <w:rsid w:val="009022C3"/>
    <w:rsid w:val="00905C5F"/>
    <w:rsid w:val="00911173"/>
    <w:rsid w:val="00914EEE"/>
    <w:rsid w:val="00922D63"/>
    <w:rsid w:val="00924E83"/>
    <w:rsid w:val="0092682A"/>
    <w:rsid w:val="00930D75"/>
    <w:rsid w:val="009342CE"/>
    <w:rsid w:val="009371A5"/>
    <w:rsid w:val="00940D9D"/>
    <w:rsid w:val="00946BB8"/>
    <w:rsid w:val="0096104A"/>
    <w:rsid w:val="00965BF4"/>
    <w:rsid w:val="00975563"/>
    <w:rsid w:val="00977F3C"/>
    <w:rsid w:val="00981EFE"/>
    <w:rsid w:val="0098485A"/>
    <w:rsid w:val="00985E60"/>
    <w:rsid w:val="00995F3D"/>
    <w:rsid w:val="00996DB7"/>
    <w:rsid w:val="009A23AE"/>
    <w:rsid w:val="009A7352"/>
    <w:rsid w:val="009B4254"/>
    <w:rsid w:val="009C04C6"/>
    <w:rsid w:val="009D7F2B"/>
    <w:rsid w:val="009E2B4C"/>
    <w:rsid w:val="009F20AD"/>
    <w:rsid w:val="009F31DF"/>
    <w:rsid w:val="009F7FBE"/>
    <w:rsid w:val="00A0332D"/>
    <w:rsid w:val="00A0432C"/>
    <w:rsid w:val="00A16F7E"/>
    <w:rsid w:val="00A2276D"/>
    <w:rsid w:val="00A303EC"/>
    <w:rsid w:val="00A3791F"/>
    <w:rsid w:val="00A41327"/>
    <w:rsid w:val="00A5448A"/>
    <w:rsid w:val="00A63EF2"/>
    <w:rsid w:val="00A64121"/>
    <w:rsid w:val="00A64C03"/>
    <w:rsid w:val="00A80C8D"/>
    <w:rsid w:val="00AC257C"/>
    <w:rsid w:val="00AE30DC"/>
    <w:rsid w:val="00AF184F"/>
    <w:rsid w:val="00AF2704"/>
    <w:rsid w:val="00AF7E21"/>
    <w:rsid w:val="00B00D0D"/>
    <w:rsid w:val="00B21A49"/>
    <w:rsid w:val="00B22D38"/>
    <w:rsid w:val="00B231AE"/>
    <w:rsid w:val="00B246B1"/>
    <w:rsid w:val="00B336FA"/>
    <w:rsid w:val="00B350E9"/>
    <w:rsid w:val="00B41411"/>
    <w:rsid w:val="00B416BD"/>
    <w:rsid w:val="00B437A3"/>
    <w:rsid w:val="00B442ED"/>
    <w:rsid w:val="00B50945"/>
    <w:rsid w:val="00B70E90"/>
    <w:rsid w:val="00B730E5"/>
    <w:rsid w:val="00B74E26"/>
    <w:rsid w:val="00B82CCE"/>
    <w:rsid w:val="00B84A77"/>
    <w:rsid w:val="00B85D63"/>
    <w:rsid w:val="00BB0BBB"/>
    <w:rsid w:val="00BB2033"/>
    <w:rsid w:val="00BB5E0A"/>
    <w:rsid w:val="00BC1979"/>
    <w:rsid w:val="00BD06CC"/>
    <w:rsid w:val="00BD3E71"/>
    <w:rsid w:val="00BE7715"/>
    <w:rsid w:val="00BF38FE"/>
    <w:rsid w:val="00BF42B7"/>
    <w:rsid w:val="00C00E52"/>
    <w:rsid w:val="00C01E86"/>
    <w:rsid w:val="00C123F4"/>
    <w:rsid w:val="00C13AFB"/>
    <w:rsid w:val="00C1725E"/>
    <w:rsid w:val="00C32E5D"/>
    <w:rsid w:val="00C331AA"/>
    <w:rsid w:val="00C33F9A"/>
    <w:rsid w:val="00C35450"/>
    <w:rsid w:val="00C354AB"/>
    <w:rsid w:val="00C44C30"/>
    <w:rsid w:val="00C45B91"/>
    <w:rsid w:val="00C524FC"/>
    <w:rsid w:val="00C52A6C"/>
    <w:rsid w:val="00C55D4F"/>
    <w:rsid w:val="00C57B0F"/>
    <w:rsid w:val="00C63E9E"/>
    <w:rsid w:val="00C65B78"/>
    <w:rsid w:val="00C76269"/>
    <w:rsid w:val="00C81A3D"/>
    <w:rsid w:val="00C94019"/>
    <w:rsid w:val="00C95074"/>
    <w:rsid w:val="00CA03CC"/>
    <w:rsid w:val="00CA6C97"/>
    <w:rsid w:val="00CC51CA"/>
    <w:rsid w:val="00CE0CED"/>
    <w:rsid w:val="00CE0ED3"/>
    <w:rsid w:val="00CE413D"/>
    <w:rsid w:val="00CE4AB1"/>
    <w:rsid w:val="00CE7D8A"/>
    <w:rsid w:val="00CF67E2"/>
    <w:rsid w:val="00D10E7B"/>
    <w:rsid w:val="00D1589D"/>
    <w:rsid w:val="00D24DD0"/>
    <w:rsid w:val="00D25155"/>
    <w:rsid w:val="00D3032B"/>
    <w:rsid w:val="00D311F9"/>
    <w:rsid w:val="00D332AD"/>
    <w:rsid w:val="00D37561"/>
    <w:rsid w:val="00D411DA"/>
    <w:rsid w:val="00D57F77"/>
    <w:rsid w:val="00D57FA3"/>
    <w:rsid w:val="00D63AEB"/>
    <w:rsid w:val="00D74F03"/>
    <w:rsid w:val="00D7738C"/>
    <w:rsid w:val="00D84579"/>
    <w:rsid w:val="00DA1D5A"/>
    <w:rsid w:val="00DA3297"/>
    <w:rsid w:val="00DA54F9"/>
    <w:rsid w:val="00DC68F3"/>
    <w:rsid w:val="00DD148A"/>
    <w:rsid w:val="00DE105D"/>
    <w:rsid w:val="00E01AA5"/>
    <w:rsid w:val="00E01BAF"/>
    <w:rsid w:val="00E0679E"/>
    <w:rsid w:val="00E1670B"/>
    <w:rsid w:val="00E27568"/>
    <w:rsid w:val="00E3280B"/>
    <w:rsid w:val="00E36FF7"/>
    <w:rsid w:val="00E512E7"/>
    <w:rsid w:val="00E55E4D"/>
    <w:rsid w:val="00E57515"/>
    <w:rsid w:val="00E64462"/>
    <w:rsid w:val="00E73A1D"/>
    <w:rsid w:val="00E934DF"/>
    <w:rsid w:val="00EA5AB7"/>
    <w:rsid w:val="00EB5142"/>
    <w:rsid w:val="00EC27C6"/>
    <w:rsid w:val="00EC2987"/>
    <w:rsid w:val="00EE080D"/>
    <w:rsid w:val="00EE34A3"/>
    <w:rsid w:val="00EE5D69"/>
    <w:rsid w:val="00EF20B7"/>
    <w:rsid w:val="00F11666"/>
    <w:rsid w:val="00F27A7E"/>
    <w:rsid w:val="00F60AF9"/>
    <w:rsid w:val="00F66902"/>
    <w:rsid w:val="00F66A98"/>
    <w:rsid w:val="00F67740"/>
    <w:rsid w:val="00F7772B"/>
    <w:rsid w:val="00F814AD"/>
    <w:rsid w:val="00F83AEC"/>
    <w:rsid w:val="00F87194"/>
    <w:rsid w:val="00F956B2"/>
    <w:rsid w:val="00FC39A6"/>
    <w:rsid w:val="00FD05DC"/>
    <w:rsid w:val="00FD182A"/>
    <w:rsid w:val="00FD452E"/>
    <w:rsid w:val="00FD556E"/>
    <w:rsid w:val="00FD573F"/>
    <w:rsid w:val="00FE37EF"/>
    <w:rsid w:val="00FF07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2650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0CF"/>
    <w:rPr>
      <w:color w:val="0000FF"/>
      <w:u w:val="single"/>
    </w:rPr>
  </w:style>
  <w:style w:type="character" w:customStyle="1" w:styleId="headnote1">
    <w:name w:val="headnote1"/>
    <w:basedOn w:val="DefaultParagraphFont"/>
    <w:rsid w:val="002650CF"/>
    <w:rPr>
      <w:b/>
      <w:bCs/>
    </w:rPr>
  </w:style>
  <w:style w:type="character" w:styleId="CommentReference">
    <w:name w:val="annotation reference"/>
    <w:basedOn w:val="DefaultParagraphFont"/>
    <w:semiHidden/>
    <w:rsid w:val="00265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5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5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50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5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6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50C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650CF"/>
  </w:style>
  <w:style w:type="paragraph" w:customStyle="1" w:styleId="Default">
    <w:name w:val="Default"/>
    <w:rsid w:val="002650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rsid w:val="002650CF"/>
    <w:rPr>
      <w:color w:val="800080"/>
      <w:u w:val="single"/>
    </w:rPr>
  </w:style>
  <w:style w:type="table" w:styleId="TableGrid">
    <w:name w:val="Table Grid"/>
    <w:basedOn w:val="TableNormal"/>
    <w:uiPriority w:val="59"/>
    <w:rsid w:val="000418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F21"/>
    <w:pPr>
      <w:ind w:left="720"/>
      <w:contextualSpacing/>
    </w:pPr>
  </w:style>
  <w:style w:type="paragraph" w:styleId="Revision">
    <w:name w:val="Revision"/>
    <w:hidden/>
    <w:rsid w:val="00030C4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2650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0CF"/>
    <w:rPr>
      <w:color w:val="0000FF"/>
      <w:u w:val="single"/>
    </w:rPr>
  </w:style>
  <w:style w:type="character" w:customStyle="1" w:styleId="headnote1">
    <w:name w:val="headnote1"/>
    <w:basedOn w:val="DefaultParagraphFont"/>
    <w:rsid w:val="002650CF"/>
    <w:rPr>
      <w:b/>
      <w:bCs/>
    </w:rPr>
  </w:style>
  <w:style w:type="character" w:styleId="CommentReference">
    <w:name w:val="annotation reference"/>
    <w:basedOn w:val="DefaultParagraphFont"/>
    <w:semiHidden/>
    <w:rsid w:val="00265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5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5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50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5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6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50C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650CF"/>
  </w:style>
  <w:style w:type="paragraph" w:customStyle="1" w:styleId="Default">
    <w:name w:val="Default"/>
    <w:rsid w:val="002650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rsid w:val="002650CF"/>
    <w:rPr>
      <w:color w:val="800080"/>
      <w:u w:val="single"/>
    </w:rPr>
  </w:style>
  <w:style w:type="table" w:styleId="TableGrid">
    <w:name w:val="Table Grid"/>
    <w:basedOn w:val="TableNormal"/>
    <w:uiPriority w:val="59"/>
    <w:rsid w:val="000418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F21"/>
    <w:pPr>
      <w:ind w:left="720"/>
      <w:contextualSpacing/>
    </w:pPr>
  </w:style>
  <w:style w:type="paragraph" w:styleId="Revision">
    <w:name w:val="Revision"/>
    <w:hidden/>
    <w:rsid w:val="00030C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ine.gov/dep/safechem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ne.gov/dep/safechem/highconcer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67F3E-AFD9-4488-BC18-EF5C5E04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EHSC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Boots</dc:creator>
  <cp:lastModifiedBy>Wismer, Don</cp:lastModifiedBy>
  <cp:revision>7</cp:revision>
  <cp:lastPrinted>2016-07-12T13:14:00Z</cp:lastPrinted>
  <dcterms:created xsi:type="dcterms:W3CDTF">2017-03-03T16:37:00Z</dcterms:created>
  <dcterms:modified xsi:type="dcterms:W3CDTF">2017-03-20T18:23:00Z</dcterms:modified>
</cp:coreProperties>
</file>