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C76C" w14:textId="77777777" w:rsidR="0062631C" w:rsidRPr="00BE136A" w:rsidRDefault="0062631C" w:rsidP="00E5303E">
      <w:pPr>
        <w:pStyle w:val="RulesChapterTitle"/>
        <w:jc w:val="left"/>
        <w:rPr>
          <w:szCs w:val="22"/>
        </w:rPr>
      </w:pPr>
      <w:r w:rsidRPr="00BE136A">
        <w:rPr>
          <w:szCs w:val="22"/>
        </w:rPr>
        <w:t>Chapter 101:</w:t>
      </w:r>
      <w:r w:rsidRPr="00BE136A">
        <w:rPr>
          <w:szCs w:val="22"/>
        </w:rPr>
        <w:tab/>
        <w:t>VISIBLE EMISSIONS REGULATION</w:t>
      </w:r>
    </w:p>
    <w:p w14:paraId="5E61C76D" w14:textId="77777777" w:rsidR="0062631C" w:rsidRPr="00BE136A" w:rsidRDefault="0062631C" w:rsidP="00E5303E">
      <w:pPr>
        <w:tabs>
          <w:tab w:val="left" w:pos="360"/>
          <w:tab w:val="left" w:pos="720"/>
          <w:tab w:val="left" w:pos="1080"/>
          <w:tab w:val="left" w:pos="1440"/>
          <w:tab w:val="left" w:pos="1800"/>
          <w:tab w:val="left" w:pos="2160"/>
          <w:tab w:val="left" w:pos="8640"/>
        </w:tabs>
        <w:spacing w:line="240" w:lineRule="atLeast"/>
        <w:rPr>
          <w:sz w:val="22"/>
          <w:szCs w:val="22"/>
        </w:rPr>
      </w:pPr>
    </w:p>
    <w:p w14:paraId="5E61C76E" w14:textId="4C79E811" w:rsidR="003E5CD0" w:rsidRPr="00BE136A" w:rsidRDefault="003E5CD0" w:rsidP="00E5303E">
      <w:pPr>
        <w:pStyle w:val="RulesSummary"/>
        <w:jc w:val="left"/>
        <w:rPr>
          <w:szCs w:val="22"/>
        </w:rPr>
      </w:pPr>
      <w:r w:rsidRPr="00BE136A">
        <w:rPr>
          <w:szCs w:val="22"/>
        </w:rPr>
        <w:t>SUMMARY: This regulation establishes</w:t>
      </w:r>
      <w:r w:rsidR="009A6541" w:rsidRPr="00BE136A">
        <w:rPr>
          <w:szCs w:val="22"/>
        </w:rPr>
        <w:t xml:space="preserve"> </w:t>
      </w:r>
      <w:r w:rsidRPr="00BE136A">
        <w:rPr>
          <w:szCs w:val="22"/>
        </w:rPr>
        <w:t>visible emission</w:t>
      </w:r>
      <w:r w:rsidR="000039FB">
        <w:rPr>
          <w:szCs w:val="22"/>
        </w:rPr>
        <w:t>s</w:t>
      </w:r>
      <w:r w:rsidRPr="00BE136A">
        <w:rPr>
          <w:szCs w:val="22"/>
        </w:rPr>
        <w:t xml:space="preserve"> limitations for emissions from several categories of air contaminant sources.</w:t>
      </w:r>
    </w:p>
    <w:p w14:paraId="5E61C76F" w14:textId="77777777" w:rsidR="0062631C" w:rsidRPr="00BE136A" w:rsidRDefault="0062631C">
      <w:pPr>
        <w:pStyle w:val="RulesSection"/>
        <w:jc w:val="left"/>
        <w:rPr>
          <w:szCs w:val="22"/>
        </w:rPr>
      </w:pPr>
    </w:p>
    <w:p w14:paraId="5E61C770" w14:textId="40903597" w:rsidR="0062631C" w:rsidRPr="00BE136A" w:rsidRDefault="0062631C" w:rsidP="00B234C7">
      <w:pPr>
        <w:pStyle w:val="Heading1"/>
        <w:jc w:val="left"/>
        <w:rPr>
          <w:sz w:val="22"/>
          <w:szCs w:val="22"/>
        </w:rPr>
      </w:pPr>
      <w:r w:rsidRPr="00BE136A">
        <w:rPr>
          <w:sz w:val="22"/>
          <w:szCs w:val="22"/>
        </w:rPr>
        <w:t>Scope/Applicability</w:t>
      </w:r>
    </w:p>
    <w:p w14:paraId="5E61C771" w14:textId="77777777" w:rsidR="0062631C" w:rsidRPr="00BE136A" w:rsidRDefault="0062631C">
      <w:pPr>
        <w:pStyle w:val="RulesSection"/>
        <w:tabs>
          <w:tab w:val="left" w:pos="360"/>
          <w:tab w:val="left" w:pos="720"/>
          <w:tab w:val="left" w:pos="1080"/>
          <w:tab w:val="left" w:pos="1440"/>
          <w:tab w:val="left" w:pos="1800"/>
          <w:tab w:val="left" w:pos="2160"/>
          <w:tab w:val="left" w:pos="2520"/>
          <w:tab w:val="left" w:pos="2880"/>
          <w:tab w:val="left" w:pos="3240"/>
        </w:tabs>
        <w:ind w:left="0" w:firstLine="0"/>
        <w:jc w:val="left"/>
        <w:rPr>
          <w:b/>
          <w:szCs w:val="22"/>
        </w:rPr>
      </w:pPr>
    </w:p>
    <w:p w14:paraId="52D958D4" w14:textId="77777777" w:rsidR="00BE136A" w:rsidRPr="00BE136A" w:rsidRDefault="0062631C" w:rsidP="00B234C7">
      <w:pPr>
        <w:pStyle w:val="Heading2"/>
        <w:jc w:val="left"/>
        <w:rPr>
          <w:b w:val="0"/>
          <w:bCs/>
          <w:sz w:val="22"/>
          <w:szCs w:val="22"/>
        </w:rPr>
      </w:pPr>
      <w:r w:rsidRPr="00BE136A">
        <w:rPr>
          <w:sz w:val="22"/>
          <w:szCs w:val="22"/>
        </w:rPr>
        <w:t xml:space="preserve">Geographic scope. </w:t>
      </w:r>
    </w:p>
    <w:p w14:paraId="78EDF63F" w14:textId="77777777" w:rsidR="00BE136A" w:rsidRDefault="00BE136A">
      <w:pPr>
        <w:rPr>
          <w:sz w:val="22"/>
          <w:szCs w:val="22"/>
        </w:rPr>
      </w:pPr>
    </w:p>
    <w:p w14:paraId="5E61C772" w14:textId="73B16EA0" w:rsidR="0062631C" w:rsidRPr="00BE136A" w:rsidRDefault="0062631C">
      <w:pPr>
        <w:ind w:left="720"/>
        <w:rPr>
          <w:b/>
          <w:sz w:val="22"/>
          <w:szCs w:val="22"/>
        </w:rPr>
      </w:pPr>
      <w:r w:rsidRPr="00BE136A">
        <w:rPr>
          <w:sz w:val="22"/>
          <w:szCs w:val="22"/>
        </w:rPr>
        <w:t>This regulation applies statewide.</w:t>
      </w:r>
      <w:r w:rsidR="00133F41" w:rsidRPr="00BE136A">
        <w:rPr>
          <w:sz w:val="22"/>
          <w:szCs w:val="22"/>
        </w:rPr>
        <w:t xml:space="preserve"> </w:t>
      </w:r>
    </w:p>
    <w:p w14:paraId="5E61C773" w14:textId="77777777" w:rsidR="00BB061F" w:rsidRPr="00BE136A" w:rsidRDefault="00BB061F">
      <w:pPr>
        <w:tabs>
          <w:tab w:val="left" w:pos="360"/>
          <w:tab w:val="left" w:pos="720"/>
          <w:tab w:val="left" w:pos="1080"/>
          <w:tab w:val="left" w:pos="1440"/>
          <w:tab w:val="left" w:pos="1800"/>
          <w:tab w:val="left" w:pos="2160"/>
          <w:tab w:val="left" w:pos="2520"/>
          <w:tab w:val="left" w:pos="2880"/>
          <w:tab w:val="left" w:pos="3240"/>
        </w:tabs>
        <w:rPr>
          <w:sz w:val="22"/>
          <w:szCs w:val="22"/>
        </w:rPr>
      </w:pPr>
    </w:p>
    <w:p w14:paraId="6862B4AB" w14:textId="5CD9CEEB" w:rsidR="00BE136A" w:rsidRPr="00BE136A" w:rsidRDefault="003E5CD0" w:rsidP="00B234C7">
      <w:pPr>
        <w:pStyle w:val="Heading2"/>
        <w:jc w:val="left"/>
        <w:rPr>
          <w:b w:val="0"/>
          <w:bCs/>
          <w:sz w:val="22"/>
          <w:szCs w:val="22"/>
        </w:rPr>
      </w:pPr>
      <w:r w:rsidRPr="00BE136A">
        <w:rPr>
          <w:sz w:val="22"/>
          <w:szCs w:val="22"/>
        </w:rPr>
        <w:t>General requirement</w:t>
      </w:r>
      <w:r w:rsidR="00F00733">
        <w:rPr>
          <w:sz w:val="22"/>
          <w:szCs w:val="22"/>
        </w:rPr>
        <w:t>s</w:t>
      </w:r>
      <w:r w:rsidRPr="00BE136A">
        <w:rPr>
          <w:sz w:val="22"/>
          <w:szCs w:val="22"/>
        </w:rPr>
        <w:t xml:space="preserve">. </w:t>
      </w:r>
    </w:p>
    <w:p w14:paraId="74DAF3F1" w14:textId="77777777" w:rsidR="00BE136A" w:rsidRPr="00BE136A" w:rsidRDefault="00BE136A">
      <w:pPr>
        <w:ind w:left="720"/>
        <w:rPr>
          <w:sz w:val="22"/>
          <w:szCs w:val="22"/>
        </w:rPr>
      </w:pPr>
    </w:p>
    <w:p w14:paraId="78BD2D5D" w14:textId="24C3ECC2" w:rsidR="00F00733" w:rsidRPr="00F00733" w:rsidRDefault="003E5CD0" w:rsidP="00B234C7">
      <w:pPr>
        <w:pStyle w:val="ListParagraph"/>
        <w:numPr>
          <w:ilvl w:val="0"/>
          <w:numId w:val="18"/>
        </w:numPr>
        <w:rPr>
          <w:b/>
          <w:sz w:val="22"/>
          <w:szCs w:val="22"/>
        </w:rPr>
      </w:pPr>
      <w:r w:rsidRPr="00F00733">
        <w:rPr>
          <w:sz w:val="22"/>
          <w:szCs w:val="22"/>
        </w:rPr>
        <w:t>No person shall emit or cause to be emitted any visible air contaminants that exceed the visible emission</w:t>
      </w:r>
      <w:r w:rsidR="000039FB">
        <w:rPr>
          <w:sz w:val="22"/>
          <w:szCs w:val="22"/>
        </w:rPr>
        <w:t>s</w:t>
      </w:r>
      <w:r w:rsidRPr="00F00733">
        <w:rPr>
          <w:sz w:val="22"/>
          <w:szCs w:val="22"/>
        </w:rPr>
        <w:t xml:space="preserve"> standards of Section</w:t>
      </w:r>
      <w:r w:rsidR="0071156E" w:rsidRPr="00F00733">
        <w:rPr>
          <w:sz w:val="22"/>
          <w:szCs w:val="22"/>
        </w:rPr>
        <w:t>s</w:t>
      </w:r>
      <w:r w:rsidRPr="00F00733">
        <w:rPr>
          <w:sz w:val="22"/>
          <w:szCs w:val="22"/>
        </w:rPr>
        <w:t xml:space="preserve"> </w:t>
      </w:r>
      <w:r w:rsidR="00D00106" w:rsidRPr="00F00733">
        <w:rPr>
          <w:sz w:val="22"/>
          <w:szCs w:val="22"/>
        </w:rPr>
        <w:t>4 or 5</w:t>
      </w:r>
      <w:r w:rsidRPr="00F00733">
        <w:rPr>
          <w:sz w:val="22"/>
          <w:szCs w:val="22"/>
        </w:rPr>
        <w:t xml:space="preserve"> of this Chapter, unless the source is</w:t>
      </w:r>
      <w:r w:rsidRPr="00F00733">
        <w:rPr>
          <w:i/>
          <w:sz w:val="22"/>
          <w:szCs w:val="22"/>
        </w:rPr>
        <w:t xml:space="preserve"> </w:t>
      </w:r>
      <w:r w:rsidRPr="00F00733">
        <w:rPr>
          <w:sz w:val="22"/>
          <w:szCs w:val="22"/>
        </w:rPr>
        <w:t>listed in Section 1(C) of this Chapter</w:t>
      </w:r>
      <w:r w:rsidR="00C04495" w:rsidRPr="00F00733">
        <w:rPr>
          <w:sz w:val="22"/>
          <w:szCs w:val="22"/>
        </w:rPr>
        <w:t>.</w:t>
      </w:r>
      <w:r w:rsidR="00F51B0B" w:rsidRPr="00F00733">
        <w:rPr>
          <w:sz w:val="22"/>
          <w:szCs w:val="22"/>
        </w:rPr>
        <w:t xml:space="preserve"> </w:t>
      </w:r>
    </w:p>
    <w:p w14:paraId="7A206725" w14:textId="77777777" w:rsidR="00F00733" w:rsidRPr="00F00733" w:rsidRDefault="00F00733">
      <w:pPr>
        <w:pStyle w:val="ListParagraph"/>
        <w:ind w:left="1080"/>
        <w:rPr>
          <w:b/>
          <w:sz w:val="22"/>
          <w:szCs w:val="22"/>
        </w:rPr>
      </w:pPr>
    </w:p>
    <w:p w14:paraId="5E61C774" w14:textId="489466CC" w:rsidR="003E5CD0" w:rsidRPr="00F00733" w:rsidRDefault="00F51B0B" w:rsidP="00B234C7">
      <w:pPr>
        <w:pStyle w:val="ListParagraph"/>
        <w:numPr>
          <w:ilvl w:val="0"/>
          <w:numId w:val="18"/>
        </w:numPr>
        <w:rPr>
          <w:b/>
          <w:sz w:val="22"/>
          <w:szCs w:val="22"/>
        </w:rPr>
      </w:pPr>
      <w:r w:rsidRPr="00F00733">
        <w:rPr>
          <w:sz w:val="22"/>
          <w:szCs w:val="22"/>
        </w:rPr>
        <w:t>E</w:t>
      </w:r>
      <w:r w:rsidR="00B32C77" w:rsidRPr="00F00733">
        <w:rPr>
          <w:sz w:val="22"/>
          <w:szCs w:val="22"/>
        </w:rPr>
        <w:t xml:space="preserve">mission units subject to this </w:t>
      </w:r>
      <w:r w:rsidR="00FA2C7F">
        <w:rPr>
          <w:sz w:val="22"/>
          <w:szCs w:val="22"/>
        </w:rPr>
        <w:t>C</w:t>
      </w:r>
      <w:r w:rsidR="00B32C77" w:rsidRPr="00F00733">
        <w:rPr>
          <w:sz w:val="22"/>
          <w:szCs w:val="22"/>
        </w:rPr>
        <w:t>hapter may also be subject to more stringent visible emission</w:t>
      </w:r>
      <w:r w:rsidR="000039FB">
        <w:rPr>
          <w:sz w:val="22"/>
          <w:szCs w:val="22"/>
        </w:rPr>
        <w:t>s</w:t>
      </w:r>
      <w:r w:rsidR="00B32C77" w:rsidRPr="00F00733">
        <w:rPr>
          <w:sz w:val="22"/>
          <w:szCs w:val="22"/>
        </w:rPr>
        <w:t xml:space="preserve"> standards pursuant to </w:t>
      </w:r>
      <w:r w:rsidR="003E5CD0" w:rsidRPr="00F00733">
        <w:rPr>
          <w:sz w:val="22"/>
          <w:szCs w:val="22"/>
        </w:rPr>
        <w:t xml:space="preserve">air emission license conditions, Best Available Control Technology (BACT), National Emissions Standards for Hazardous Air Pollutants (NESHAP), Best Practical Treatment (BPT), and/or New Source Performance Standards (NSPS). </w:t>
      </w:r>
    </w:p>
    <w:p w14:paraId="0AC72777" w14:textId="77777777" w:rsidR="00F00733" w:rsidRPr="00F00733" w:rsidRDefault="00F00733">
      <w:pPr>
        <w:pStyle w:val="ListParagraph"/>
        <w:rPr>
          <w:b/>
          <w:sz w:val="22"/>
          <w:szCs w:val="22"/>
        </w:rPr>
      </w:pPr>
    </w:p>
    <w:p w14:paraId="4314A9E9" w14:textId="2B5715A5" w:rsidR="00F00733" w:rsidRPr="00F00733" w:rsidRDefault="00F00733" w:rsidP="00B234C7">
      <w:pPr>
        <w:pStyle w:val="ListParagraph"/>
        <w:numPr>
          <w:ilvl w:val="0"/>
          <w:numId w:val="18"/>
        </w:numPr>
        <w:rPr>
          <w:b/>
          <w:sz w:val="22"/>
          <w:szCs w:val="22"/>
        </w:rPr>
      </w:pPr>
      <w:r>
        <w:rPr>
          <w:bCs/>
          <w:sz w:val="22"/>
          <w:szCs w:val="22"/>
        </w:rPr>
        <w:t xml:space="preserve">At all times, including periods of startup, shutdown, malfunction, and maintenance activities as described in this </w:t>
      </w:r>
      <w:r w:rsidR="00FA2C7F">
        <w:rPr>
          <w:bCs/>
          <w:sz w:val="22"/>
          <w:szCs w:val="22"/>
        </w:rPr>
        <w:t>C</w:t>
      </w:r>
      <w:r>
        <w:rPr>
          <w:bCs/>
          <w:sz w:val="22"/>
          <w:szCs w:val="22"/>
        </w:rPr>
        <w:t>hapter, the owner</w:t>
      </w:r>
      <w:r w:rsidR="00D43DAB">
        <w:rPr>
          <w:bCs/>
          <w:sz w:val="22"/>
          <w:szCs w:val="22"/>
        </w:rPr>
        <w:t xml:space="preserve"> or </w:t>
      </w:r>
      <w:r>
        <w:rPr>
          <w:bCs/>
          <w:sz w:val="22"/>
          <w:szCs w:val="22"/>
        </w:rPr>
        <w:t xml:space="preserve">operator shall maintain and operate the emissions unit and any air pollution control devices in a manner consistent with good engineering practice to </w:t>
      </w:r>
      <w:r w:rsidR="00D03C77">
        <w:rPr>
          <w:bCs/>
          <w:sz w:val="22"/>
          <w:szCs w:val="22"/>
        </w:rPr>
        <w:t>minimize</w:t>
      </w:r>
      <w:r>
        <w:rPr>
          <w:bCs/>
          <w:sz w:val="22"/>
          <w:szCs w:val="22"/>
        </w:rPr>
        <w:t xml:space="preserve"> emissions. </w:t>
      </w:r>
    </w:p>
    <w:p w14:paraId="5E61C775" w14:textId="7F9FE986" w:rsidR="0062631C" w:rsidRDefault="0062631C">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34CEB6D0" w14:textId="51EE3165" w:rsidR="009831DE" w:rsidRDefault="001F481F">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r>
        <w:rPr>
          <w:szCs w:val="22"/>
        </w:rPr>
        <w:pict w14:anchorId="4F643265">
          <v:rect id="_x0000_i1025" style="width:0;height:1.5pt" o:hralign="center" o:hrstd="t" o:hr="t" fillcolor="#a0a0a0" stroked="f"/>
        </w:pict>
      </w:r>
    </w:p>
    <w:p w14:paraId="7F2D2D94" w14:textId="77777777" w:rsidR="009831DE" w:rsidRDefault="009831DE"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hanging="540"/>
        <w:jc w:val="left"/>
      </w:pPr>
      <w:r>
        <w:rPr>
          <w:szCs w:val="22"/>
        </w:rPr>
        <w:t xml:space="preserve">Note: </w:t>
      </w:r>
      <w:r>
        <w:t xml:space="preserve">Copies of the ASTM standards incorporated by reference are available in the issuing organization’s Reading Room online at: </w:t>
      </w:r>
    </w:p>
    <w:p w14:paraId="39E9CE54" w14:textId="2C7D6C42" w:rsidR="009831DE" w:rsidRDefault="001F481F"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jc w:val="left"/>
      </w:pPr>
      <w:hyperlink r:id="rId8" w:history="1">
        <w:r w:rsidR="009831DE" w:rsidRPr="009831DE">
          <w:rPr>
            <w:rStyle w:val="Hyperlink"/>
          </w:rPr>
          <w:t>https://www.astm.org/products-services/standards-and-publications/astm-reading-room.html</w:t>
        </w:r>
      </w:hyperlink>
      <w:r w:rsidR="009831DE">
        <w:t>.</w:t>
      </w:r>
    </w:p>
    <w:p w14:paraId="42CD7C71" w14:textId="69929929" w:rsidR="009831DE" w:rsidRDefault="009831DE"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jc w:val="left"/>
        <w:rPr>
          <w:szCs w:val="22"/>
        </w:rPr>
      </w:pPr>
    </w:p>
    <w:p w14:paraId="380AA5B8" w14:textId="0A9FFF2B" w:rsidR="009831DE" w:rsidRDefault="009831DE"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jc w:val="left"/>
        <w:rPr>
          <w:szCs w:val="22"/>
        </w:rPr>
      </w:pPr>
      <w:r>
        <w:rPr>
          <w:szCs w:val="22"/>
        </w:rPr>
        <w:t xml:space="preserve">Copies of State rules incorporated by reference are available on the Maine Secretary of State website at: </w:t>
      </w:r>
      <w:hyperlink r:id="rId9" w:history="1">
        <w:r w:rsidRPr="00A84247">
          <w:rPr>
            <w:rStyle w:val="Hyperlink"/>
            <w:szCs w:val="22"/>
          </w:rPr>
          <w:t>https://www.maine.gov/sos/cec/rules/06/chaps06.htm</w:t>
        </w:r>
      </w:hyperlink>
      <w:r>
        <w:rPr>
          <w:szCs w:val="22"/>
        </w:rPr>
        <w:t>.</w:t>
      </w:r>
    </w:p>
    <w:p w14:paraId="68DE9035" w14:textId="2DD9FC0C" w:rsidR="009831DE" w:rsidRDefault="009831DE"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jc w:val="left"/>
        <w:rPr>
          <w:szCs w:val="22"/>
        </w:rPr>
      </w:pPr>
    </w:p>
    <w:p w14:paraId="1EA72F21" w14:textId="7988F7FC" w:rsidR="009831DE" w:rsidRDefault="009831DE" w:rsidP="009831DE">
      <w:pPr>
        <w:pStyle w:val="RulesBasisStatement"/>
        <w:tabs>
          <w:tab w:val="left" w:pos="360"/>
          <w:tab w:val="left" w:pos="720"/>
          <w:tab w:val="left" w:pos="1080"/>
          <w:tab w:val="left" w:pos="1440"/>
          <w:tab w:val="left" w:pos="1800"/>
          <w:tab w:val="left" w:pos="2160"/>
          <w:tab w:val="left" w:pos="2520"/>
          <w:tab w:val="left" w:pos="2880"/>
          <w:tab w:val="left" w:pos="3240"/>
        </w:tabs>
        <w:ind w:left="540"/>
        <w:jc w:val="left"/>
        <w:rPr>
          <w:szCs w:val="22"/>
        </w:rPr>
      </w:pPr>
      <w:r>
        <w:rPr>
          <w:szCs w:val="22"/>
        </w:rPr>
        <w:t xml:space="preserve">Copies of Federal regulations or test methods incorporated by reference are available on the </w:t>
      </w:r>
      <w:proofErr w:type="spellStart"/>
      <w:r>
        <w:rPr>
          <w:szCs w:val="22"/>
        </w:rPr>
        <w:t>eCFR</w:t>
      </w:r>
      <w:proofErr w:type="spellEnd"/>
      <w:r>
        <w:rPr>
          <w:szCs w:val="22"/>
        </w:rPr>
        <w:t xml:space="preserve"> website at: </w:t>
      </w:r>
      <w:hyperlink r:id="rId10" w:history="1">
        <w:r w:rsidR="00BB1D83" w:rsidRPr="006235EE">
          <w:rPr>
            <w:rStyle w:val="Hyperlink"/>
            <w:szCs w:val="22"/>
          </w:rPr>
          <w:t>https://www.ecfr.gov/current/title-40/chapter-I/subchapter-C</w:t>
        </w:r>
      </w:hyperlink>
      <w:r>
        <w:rPr>
          <w:szCs w:val="22"/>
        </w:rPr>
        <w:t>.</w:t>
      </w:r>
    </w:p>
    <w:p w14:paraId="115A9137" w14:textId="61AC4102" w:rsidR="009831DE" w:rsidRDefault="001F481F">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r>
        <w:rPr>
          <w:szCs w:val="22"/>
        </w:rPr>
        <w:pict w14:anchorId="0F9852C6">
          <v:rect id="_x0000_i1026" style="width:0;height:1.5pt" o:hralign="center" o:hrstd="t" o:hr="t" fillcolor="#a0a0a0" stroked="f"/>
        </w:pict>
      </w:r>
    </w:p>
    <w:p w14:paraId="661CF2EA" w14:textId="77777777" w:rsidR="009831DE" w:rsidRPr="00BE136A" w:rsidRDefault="009831DE">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440C27E8" w14:textId="77777777" w:rsidR="00BE136A" w:rsidRPr="00BE136A" w:rsidRDefault="003E5CD0" w:rsidP="00B234C7">
      <w:pPr>
        <w:pStyle w:val="Heading2"/>
        <w:jc w:val="left"/>
        <w:rPr>
          <w:b w:val="0"/>
          <w:bCs/>
          <w:sz w:val="22"/>
          <w:szCs w:val="22"/>
        </w:rPr>
      </w:pPr>
      <w:r w:rsidRPr="00BE136A">
        <w:rPr>
          <w:sz w:val="22"/>
          <w:szCs w:val="22"/>
        </w:rPr>
        <w:t xml:space="preserve">Exemptions from this Chapter. </w:t>
      </w:r>
    </w:p>
    <w:p w14:paraId="0CE5D2F6" w14:textId="77777777" w:rsidR="00BE136A" w:rsidRPr="00BE136A" w:rsidRDefault="00BE136A">
      <w:pPr>
        <w:ind w:left="720"/>
        <w:rPr>
          <w:sz w:val="22"/>
          <w:szCs w:val="22"/>
        </w:rPr>
      </w:pPr>
    </w:p>
    <w:p w14:paraId="5E61C776" w14:textId="221263A3" w:rsidR="003E5CD0" w:rsidRPr="00BE136A" w:rsidRDefault="003E5CD0">
      <w:pPr>
        <w:ind w:left="720"/>
        <w:rPr>
          <w:b/>
          <w:sz w:val="22"/>
          <w:szCs w:val="22"/>
        </w:rPr>
      </w:pPr>
      <w:r w:rsidRPr="00BE136A">
        <w:rPr>
          <w:sz w:val="22"/>
          <w:szCs w:val="22"/>
        </w:rPr>
        <w:t>The following are exempt from this Chapter:</w:t>
      </w:r>
    </w:p>
    <w:p w14:paraId="5E61C777" w14:textId="77777777" w:rsidR="003E5CD0" w:rsidRPr="00BE136A" w:rsidRDefault="003E5CD0">
      <w:pPr>
        <w:pStyle w:val="RulesSub-section"/>
        <w:tabs>
          <w:tab w:val="left" w:pos="360"/>
          <w:tab w:val="left" w:pos="720"/>
          <w:tab w:val="left" w:pos="1080"/>
          <w:tab w:val="left" w:pos="1440"/>
          <w:tab w:val="left" w:pos="1800"/>
          <w:tab w:val="left" w:pos="2160"/>
          <w:tab w:val="left" w:pos="2520"/>
          <w:tab w:val="left" w:pos="2880"/>
          <w:tab w:val="left" w:pos="3240"/>
        </w:tabs>
        <w:jc w:val="left"/>
        <w:rPr>
          <w:szCs w:val="22"/>
        </w:rPr>
      </w:pPr>
    </w:p>
    <w:p w14:paraId="38456FE1" w14:textId="5AE1CE9F" w:rsidR="009864D5" w:rsidRPr="00BE136A" w:rsidRDefault="009A6541" w:rsidP="00B234C7">
      <w:pPr>
        <w:pStyle w:val="RulesSub-section"/>
        <w:numPr>
          <w:ilvl w:val="0"/>
          <w:numId w:val="4"/>
        </w:numPr>
        <w:tabs>
          <w:tab w:val="left" w:pos="360"/>
          <w:tab w:val="left" w:pos="720"/>
          <w:tab w:val="left" w:pos="1260"/>
          <w:tab w:val="left" w:pos="1440"/>
          <w:tab w:val="left" w:pos="1800"/>
          <w:tab w:val="left" w:pos="2160"/>
          <w:tab w:val="left" w:pos="2520"/>
          <w:tab w:val="left" w:pos="2880"/>
          <w:tab w:val="left" w:pos="3240"/>
        </w:tabs>
        <w:ind w:left="1260" w:hanging="540"/>
        <w:jc w:val="left"/>
        <w:rPr>
          <w:szCs w:val="22"/>
        </w:rPr>
      </w:pPr>
      <w:r w:rsidRPr="00BE136A">
        <w:rPr>
          <w:szCs w:val="22"/>
        </w:rPr>
        <w:t xml:space="preserve">Incinerators </w:t>
      </w:r>
      <w:r w:rsidR="003E5CD0" w:rsidRPr="00BE136A">
        <w:rPr>
          <w:szCs w:val="22"/>
        </w:rPr>
        <w:t xml:space="preserve">regulated by 06-096 C.M.R. </w:t>
      </w:r>
      <w:proofErr w:type="spellStart"/>
      <w:r w:rsidR="003E5CD0" w:rsidRPr="00BE136A">
        <w:rPr>
          <w:szCs w:val="22"/>
        </w:rPr>
        <w:t>ch.</w:t>
      </w:r>
      <w:proofErr w:type="spellEnd"/>
      <w:r w:rsidR="003E5CD0" w:rsidRPr="00BE136A">
        <w:rPr>
          <w:szCs w:val="22"/>
        </w:rPr>
        <w:t xml:space="preserve"> 104;</w:t>
      </w:r>
    </w:p>
    <w:p w14:paraId="23C09955" w14:textId="77777777" w:rsidR="009864D5" w:rsidRPr="00BE136A" w:rsidRDefault="009864D5">
      <w:pPr>
        <w:pStyle w:val="RulesSub-section"/>
        <w:tabs>
          <w:tab w:val="left" w:pos="360"/>
          <w:tab w:val="left" w:pos="720"/>
          <w:tab w:val="left" w:pos="1260"/>
          <w:tab w:val="left" w:pos="1440"/>
          <w:tab w:val="left" w:pos="1800"/>
          <w:tab w:val="left" w:pos="2160"/>
          <w:tab w:val="left" w:pos="2520"/>
          <w:tab w:val="left" w:pos="2880"/>
          <w:tab w:val="left" w:pos="3240"/>
        </w:tabs>
        <w:ind w:left="1260" w:firstLine="0"/>
        <w:jc w:val="left"/>
        <w:rPr>
          <w:szCs w:val="22"/>
        </w:rPr>
      </w:pPr>
    </w:p>
    <w:p w14:paraId="5C7323D3" w14:textId="77777777" w:rsidR="009864D5" w:rsidRPr="00BE136A" w:rsidRDefault="003E5CD0" w:rsidP="00B234C7">
      <w:pPr>
        <w:pStyle w:val="RulesSub-section"/>
        <w:numPr>
          <w:ilvl w:val="0"/>
          <w:numId w:val="4"/>
        </w:numPr>
        <w:tabs>
          <w:tab w:val="left" w:pos="360"/>
          <w:tab w:val="left" w:pos="720"/>
          <w:tab w:val="left" w:pos="1260"/>
          <w:tab w:val="left" w:pos="1440"/>
          <w:tab w:val="left" w:pos="1800"/>
          <w:tab w:val="left" w:pos="2160"/>
          <w:tab w:val="left" w:pos="2520"/>
          <w:tab w:val="left" w:pos="2880"/>
          <w:tab w:val="left" w:pos="3240"/>
        </w:tabs>
        <w:ind w:left="1260" w:hanging="540"/>
        <w:jc w:val="left"/>
        <w:rPr>
          <w:szCs w:val="22"/>
        </w:rPr>
      </w:pPr>
      <w:r w:rsidRPr="00BE136A">
        <w:rPr>
          <w:szCs w:val="22"/>
        </w:rPr>
        <w:t>Permitted open burning</w:t>
      </w:r>
      <w:r w:rsidR="009A6541" w:rsidRPr="00BE136A">
        <w:rPr>
          <w:szCs w:val="22"/>
        </w:rPr>
        <w:t xml:space="preserve"> </w:t>
      </w:r>
      <w:r w:rsidRPr="00BE136A">
        <w:rPr>
          <w:szCs w:val="22"/>
        </w:rPr>
        <w:t xml:space="preserve">regulated by 06-096 C.M.R. </w:t>
      </w:r>
      <w:proofErr w:type="spellStart"/>
      <w:r w:rsidRPr="00BE136A">
        <w:rPr>
          <w:szCs w:val="22"/>
        </w:rPr>
        <w:t>ch.</w:t>
      </w:r>
      <w:proofErr w:type="spellEnd"/>
      <w:r w:rsidRPr="00BE136A">
        <w:rPr>
          <w:szCs w:val="22"/>
        </w:rPr>
        <w:t xml:space="preserve"> 102;</w:t>
      </w:r>
    </w:p>
    <w:p w14:paraId="48322F7E" w14:textId="77777777" w:rsidR="009864D5" w:rsidRPr="00BE136A" w:rsidRDefault="009864D5">
      <w:pPr>
        <w:pStyle w:val="ListParagraph"/>
        <w:rPr>
          <w:sz w:val="22"/>
          <w:szCs w:val="22"/>
        </w:rPr>
      </w:pPr>
    </w:p>
    <w:p w14:paraId="16146CF3" w14:textId="77777777" w:rsidR="009864D5" w:rsidRPr="00BE136A" w:rsidRDefault="003E5CD0" w:rsidP="00B234C7">
      <w:pPr>
        <w:pStyle w:val="RulesSub-section"/>
        <w:numPr>
          <w:ilvl w:val="0"/>
          <w:numId w:val="4"/>
        </w:numPr>
        <w:tabs>
          <w:tab w:val="left" w:pos="360"/>
          <w:tab w:val="left" w:pos="720"/>
          <w:tab w:val="left" w:pos="1260"/>
          <w:tab w:val="left" w:pos="1440"/>
          <w:tab w:val="left" w:pos="1800"/>
          <w:tab w:val="left" w:pos="2160"/>
          <w:tab w:val="left" w:pos="2520"/>
          <w:tab w:val="left" w:pos="2880"/>
          <w:tab w:val="left" w:pos="3240"/>
        </w:tabs>
        <w:ind w:left="1260" w:hanging="540"/>
        <w:jc w:val="left"/>
        <w:rPr>
          <w:szCs w:val="22"/>
        </w:rPr>
      </w:pPr>
      <w:r w:rsidRPr="00BE136A">
        <w:rPr>
          <w:szCs w:val="22"/>
        </w:rPr>
        <w:t xml:space="preserve">Emissions of condensed, uncombined water vapor; </w:t>
      </w:r>
    </w:p>
    <w:p w14:paraId="28A46418" w14:textId="77777777" w:rsidR="009864D5" w:rsidRPr="00BE136A" w:rsidRDefault="009864D5">
      <w:pPr>
        <w:pStyle w:val="ListParagraph"/>
        <w:rPr>
          <w:sz w:val="22"/>
          <w:szCs w:val="22"/>
        </w:rPr>
      </w:pPr>
    </w:p>
    <w:p w14:paraId="0BC9944A" w14:textId="77777777" w:rsidR="009864D5" w:rsidRPr="00BE136A" w:rsidRDefault="00A949FF" w:rsidP="00B234C7">
      <w:pPr>
        <w:pStyle w:val="RulesSub-section"/>
        <w:numPr>
          <w:ilvl w:val="0"/>
          <w:numId w:val="4"/>
        </w:numPr>
        <w:tabs>
          <w:tab w:val="left" w:pos="360"/>
          <w:tab w:val="left" w:pos="720"/>
          <w:tab w:val="left" w:pos="1260"/>
          <w:tab w:val="left" w:pos="1440"/>
          <w:tab w:val="left" w:pos="1800"/>
          <w:tab w:val="left" w:pos="2160"/>
          <w:tab w:val="left" w:pos="2520"/>
          <w:tab w:val="left" w:pos="2880"/>
          <w:tab w:val="left" w:pos="3240"/>
        </w:tabs>
        <w:ind w:left="1260" w:hanging="540"/>
        <w:jc w:val="left"/>
        <w:rPr>
          <w:szCs w:val="22"/>
        </w:rPr>
      </w:pPr>
      <w:r w:rsidRPr="00BE136A">
        <w:rPr>
          <w:szCs w:val="22"/>
        </w:rPr>
        <w:t xml:space="preserve">Diesel-powered motor vehicles regulated by 06-096 C.M.R. </w:t>
      </w:r>
      <w:proofErr w:type="spellStart"/>
      <w:r w:rsidRPr="00BE136A">
        <w:rPr>
          <w:szCs w:val="22"/>
        </w:rPr>
        <w:t>ch.</w:t>
      </w:r>
      <w:proofErr w:type="spellEnd"/>
      <w:r w:rsidRPr="00BE136A">
        <w:rPr>
          <w:szCs w:val="22"/>
        </w:rPr>
        <w:t xml:space="preserve"> 146;</w:t>
      </w:r>
    </w:p>
    <w:p w14:paraId="6EB16B6C" w14:textId="77777777" w:rsidR="009864D5" w:rsidRPr="00BE136A" w:rsidRDefault="009864D5">
      <w:pPr>
        <w:pStyle w:val="ListParagraph"/>
        <w:rPr>
          <w:sz w:val="22"/>
          <w:szCs w:val="22"/>
        </w:rPr>
      </w:pPr>
    </w:p>
    <w:p w14:paraId="4777C4C5" w14:textId="5B3656BD" w:rsidR="00D03C77" w:rsidRDefault="003E5CD0" w:rsidP="00B234C7">
      <w:pPr>
        <w:pStyle w:val="RulesSub-section"/>
        <w:numPr>
          <w:ilvl w:val="0"/>
          <w:numId w:val="4"/>
        </w:numPr>
        <w:tabs>
          <w:tab w:val="left" w:pos="360"/>
          <w:tab w:val="left" w:pos="720"/>
          <w:tab w:val="left" w:pos="1440"/>
          <w:tab w:val="left" w:pos="1800"/>
          <w:tab w:val="left" w:pos="2160"/>
          <w:tab w:val="left" w:pos="2520"/>
          <w:tab w:val="left" w:pos="2880"/>
          <w:tab w:val="left" w:pos="3240"/>
        </w:tabs>
        <w:ind w:left="1260" w:hanging="540"/>
        <w:jc w:val="left"/>
        <w:rPr>
          <w:szCs w:val="22"/>
        </w:rPr>
      </w:pPr>
      <w:bookmarkStart w:id="0" w:name="_Hlk121904154"/>
      <w:r w:rsidRPr="00BE136A">
        <w:rPr>
          <w:szCs w:val="22"/>
        </w:rPr>
        <w:t xml:space="preserve">Visible air contaminants emitted for </w:t>
      </w:r>
      <w:bookmarkStart w:id="1" w:name="_Hlk121904190"/>
      <w:r w:rsidRPr="00BE136A">
        <w:rPr>
          <w:szCs w:val="22"/>
        </w:rPr>
        <w:t>the purpose of</w:t>
      </w:r>
      <w:r w:rsidR="00D03C77">
        <w:rPr>
          <w:szCs w:val="22"/>
        </w:rPr>
        <w:t xml:space="preserve"> either</w:t>
      </w:r>
      <w:r w:rsidR="002C5AF1">
        <w:rPr>
          <w:szCs w:val="22"/>
        </w:rPr>
        <w:t xml:space="preserve"> of the following</w:t>
      </w:r>
      <w:r w:rsidR="00D03C77">
        <w:rPr>
          <w:szCs w:val="22"/>
        </w:rPr>
        <w:t>:</w:t>
      </w:r>
      <w:r w:rsidRPr="00BE136A">
        <w:rPr>
          <w:szCs w:val="22"/>
        </w:rPr>
        <w:t xml:space="preserve"> </w:t>
      </w:r>
    </w:p>
    <w:p w14:paraId="58C4A670" w14:textId="77777777" w:rsidR="00D03C77" w:rsidRDefault="00D03C77" w:rsidP="00D03C77">
      <w:pPr>
        <w:pStyle w:val="ListParagraph"/>
        <w:rPr>
          <w:szCs w:val="22"/>
        </w:rPr>
      </w:pPr>
    </w:p>
    <w:p w14:paraId="4F91E0DC" w14:textId="77777777" w:rsidR="00D03C77" w:rsidRDefault="003E5CD0" w:rsidP="00B234C7">
      <w:pPr>
        <w:pStyle w:val="RulesSub-section"/>
        <w:numPr>
          <w:ilvl w:val="0"/>
          <w:numId w:val="20"/>
        </w:numPr>
        <w:tabs>
          <w:tab w:val="left" w:pos="360"/>
          <w:tab w:val="left" w:pos="720"/>
          <w:tab w:val="left" w:pos="1440"/>
          <w:tab w:val="left" w:pos="1800"/>
          <w:tab w:val="left" w:pos="2160"/>
          <w:tab w:val="left" w:pos="2520"/>
          <w:tab w:val="left" w:pos="2880"/>
          <w:tab w:val="left" w:pos="3240"/>
        </w:tabs>
        <w:jc w:val="left"/>
        <w:rPr>
          <w:szCs w:val="22"/>
        </w:rPr>
      </w:pPr>
      <w:r w:rsidRPr="00BE136A">
        <w:rPr>
          <w:szCs w:val="22"/>
        </w:rPr>
        <w:t>visible emissions observer training</w:t>
      </w:r>
      <w:r w:rsidR="00D03C77">
        <w:rPr>
          <w:szCs w:val="22"/>
        </w:rPr>
        <w:t xml:space="preserve"> pursuant to EPA Method 9 or 22,</w:t>
      </w:r>
      <w:r w:rsidR="00962CBC">
        <w:rPr>
          <w:szCs w:val="22"/>
        </w:rPr>
        <w:t xml:space="preserve"> </w:t>
      </w:r>
      <w:r w:rsidR="005237C4">
        <w:rPr>
          <w:szCs w:val="22"/>
        </w:rPr>
        <w:t xml:space="preserve">or </w:t>
      </w:r>
    </w:p>
    <w:p w14:paraId="4376D043" w14:textId="76A05254" w:rsidR="009864D5" w:rsidRPr="00BE136A" w:rsidRDefault="00962CBC" w:rsidP="00B234C7">
      <w:pPr>
        <w:pStyle w:val="RulesSub-section"/>
        <w:numPr>
          <w:ilvl w:val="0"/>
          <w:numId w:val="20"/>
        </w:numPr>
        <w:tabs>
          <w:tab w:val="left" w:pos="360"/>
          <w:tab w:val="left" w:pos="720"/>
          <w:tab w:val="left" w:pos="1440"/>
          <w:tab w:val="left" w:pos="1800"/>
          <w:tab w:val="left" w:pos="2160"/>
          <w:tab w:val="left" w:pos="2520"/>
          <w:tab w:val="left" w:pos="2880"/>
          <w:tab w:val="left" w:pos="3240"/>
        </w:tabs>
        <w:jc w:val="left"/>
        <w:rPr>
          <w:szCs w:val="22"/>
        </w:rPr>
      </w:pPr>
      <w:r>
        <w:rPr>
          <w:szCs w:val="22"/>
        </w:rPr>
        <w:t>firefighter training</w:t>
      </w:r>
      <w:bookmarkEnd w:id="0"/>
      <w:bookmarkEnd w:id="1"/>
      <w:r w:rsidR="003E5CD0" w:rsidRPr="00BE136A">
        <w:rPr>
          <w:szCs w:val="22"/>
        </w:rPr>
        <w:t xml:space="preserve">;  </w:t>
      </w:r>
    </w:p>
    <w:p w14:paraId="40206AF7" w14:textId="77777777" w:rsidR="009864D5" w:rsidRPr="00BE136A" w:rsidRDefault="009864D5">
      <w:pPr>
        <w:pStyle w:val="ListParagraph"/>
        <w:rPr>
          <w:sz w:val="22"/>
          <w:szCs w:val="22"/>
        </w:rPr>
      </w:pPr>
    </w:p>
    <w:p w14:paraId="6F39186C" w14:textId="7F835B05" w:rsidR="00BD7045" w:rsidRDefault="003E5CD0" w:rsidP="00B234C7">
      <w:pPr>
        <w:pStyle w:val="RulesSub-section"/>
        <w:numPr>
          <w:ilvl w:val="0"/>
          <w:numId w:val="4"/>
        </w:numPr>
        <w:tabs>
          <w:tab w:val="left" w:pos="360"/>
          <w:tab w:val="left" w:pos="720"/>
          <w:tab w:val="left" w:pos="1440"/>
          <w:tab w:val="left" w:pos="1800"/>
          <w:tab w:val="left" w:pos="2160"/>
          <w:tab w:val="left" w:pos="2520"/>
          <w:tab w:val="left" w:pos="2880"/>
          <w:tab w:val="left" w:pos="3240"/>
        </w:tabs>
        <w:ind w:left="1260" w:hanging="540"/>
        <w:jc w:val="left"/>
        <w:rPr>
          <w:szCs w:val="22"/>
        </w:rPr>
      </w:pPr>
      <w:r w:rsidRPr="00BE136A">
        <w:rPr>
          <w:szCs w:val="22"/>
        </w:rPr>
        <w:t xml:space="preserve">Visible air contaminants emitted for the purpose of Predictive Emission Monitoring Systems (PEMS) research that has been approved by the </w:t>
      </w:r>
      <w:r w:rsidR="00FD1135">
        <w:rPr>
          <w:szCs w:val="22"/>
        </w:rPr>
        <w:t>Department</w:t>
      </w:r>
      <w:r w:rsidR="00FD1135" w:rsidRPr="00BE136A">
        <w:rPr>
          <w:szCs w:val="22"/>
        </w:rPr>
        <w:t xml:space="preserve"> </w:t>
      </w:r>
      <w:r w:rsidRPr="00BE136A">
        <w:rPr>
          <w:szCs w:val="22"/>
        </w:rPr>
        <w:t>and EPA</w:t>
      </w:r>
      <w:r w:rsidR="00BD7045">
        <w:rPr>
          <w:szCs w:val="22"/>
        </w:rPr>
        <w:t>; and</w:t>
      </w:r>
    </w:p>
    <w:p w14:paraId="286C3168" w14:textId="77777777" w:rsidR="00BD7045" w:rsidRDefault="00BD7045" w:rsidP="00BD7045">
      <w:pPr>
        <w:pStyle w:val="RulesSub-section"/>
        <w:tabs>
          <w:tab w:val="left" w:pos="360"/>
          <w:tab w:val="left" w:pos="720"/>
          <w:tab w:val="left" w:pos="1440"/>
          <w:tab w:val="left" w:pos="1800"/>
          <w:tab w:val="left" w:pos="2160"/>
          <w:tab w:val="left" w:pos="2520"/>
          <w:tab w:val="left" w:pos="2880"/>
          <w:tab w:val="left" w:pos="3240"/>
        </w:tabs>
        <w:ind w:left="1260" w:firstLine="0"/>
        <w:jc w:val="left"/>
        <w:rPr>
          <w:szCs w:val="22"/>
        </w:rPr>
      </w:pPr>
    </w:p>
    <w:p w14:paraId="5E61C78C" w14:textId="4779E4F7" w:rsidR="003E5CD0" w:rsidRDefault="00BD7045" w:rsidP="00B234C7">
      <w:pPr>
        <w:pStyle w:val="RulesSub-section"/>
        <w:numPr>
          <w:ilvl w:val="0"/>
          <w:numId w:val="4"/>
        </w:numPr>
        <w:tabs>
          <w:tab w:val="left" w:pos="360"/>
          <w:tab w:val="left" w:pos="720"/>
          <w:tab w:val="left" w:pos="1440"/>
          <w:tab w:val="left" w:pos="1800"/>
          <w:tab w:val="left" w:pos="2160"/>
          <w:tab w:val="left" w:pos="2520"/>
          <w:tab w:val="left" w:pos="2880"/>
          <w:tab w:val="left" w:pos="3240"/>
        </w:tabs>
        <w:ind w:left="1260" w:hanging="540"/>
        <w:jc w:val="left"/>
        <w:rPr>
          <w:szCs w:val="22"/>
        </w:rPr>
      </w:pPr>
      <w:r>
        <w:rPr>
          <w:szCs w:val="22"/>
        </w:rPr>
        <w:t xml:space="preserve">Emission units regulated under </w:t>
      </w:r>
      <w:r>
        <w:rPr>
          <w:i/>
          <w:iCs/>
          <w:szCs w:val="22"/>
        </w:rPr>
        <w:t>National Emission Standards for Hazardous Air Pollutants for Major Sources: Industrial</w:t>
      </w:r>
      <w:r w:rsidR="00735AAA">
        <w:rPr>
          <w:i/>
          <w:iCs/>
          <w:szCs w:val="22"/>
        </w:rPr>
        <w:t>,</w:t>
      </w:r>
      <w:r>
        <w:rPr>
          <w:i/>
          <w:iCs/>
          <w:szCs w:val="22"/>
        </w:rPr>
        <w:t xml:space="preserve"> Commercial, and Institutional Boilers and Process Heaters</w:t>
      </w:r>
      <w:r>
        <w:rPr>
          <w:szCs w:val="22"/>
        </w:rPr>
        <w:t xml:space="preserve">, 40 C.F.R. Part 63, Subpart DDDDD (as </w:t>
      </w:r>
      <w:r w:rsidR="00877916">
        <w:rPr>
          <w:szCs w:val="22"/>
        </w:rPr>
        <w:t>published December 5, 2022</w:t>
      </w:r>
      <w:r>
        <w:rPr>
          <w:szCs w:val="22"/>
        </w:rPr>
        <w:t>), that meet one or more of the following criteria:</w:t>
      </w:r>
    </w:p>
    <w:p w14:paraId="5A70B6F1" w14:textId="77777777" w:rsidR="00BD7045" w:rsidRDefault="00BD7045" w:rsidP="00BD7045">
      <w:pPr>
        <w:pStyle w:val="ListParagraph"/>
        <w:rPr>
          <w:szCs w:val="22"/>
        </w:rPr>
      </w:pPr>
    </w:p>
    <w:p w14:paraId="6DF49122" w14:textId="4BE980CE" w:rsidR="00BD7045" w:rsidRDefault="00BD7045" w:rsidP="00B234C7">
      <w:pPr>
        <w:pStyle w:val="RulesSub-section"/>
        <w:numPr>
          <w:ilvl w:val="0"/>
          <w:numId w:val="22"/>
        </w:numPr>
        <w:tabs>
          <w:tab w:val="left" w:pos="360"/>
          <w:tab w:val="left" w:pos="720"/>
          <w:tab w:val="left" w:pos="1440"/>
          <w:tab w:val="left" w:pos="1800"/>
          <w:tab w:val="left" w:pos="2160"/>
          <w:tab w:val="left" w:pos="2520"/>
          <w:tab w:val="left" w:pos="2880"/>
          <w:tab w:val="left" w:pos="3240"/>
        </w:tabs>
        <w:jc w:val="left"/>
        <w:rPr>
          <w:szCs w:val="22"/>
        </w:rPr>
      </w:pPr>
      <w:r>
        <w:rPr>
          <w:szCs w:val="22"/>
        </w:rPr>
        <w:t>The unit was constructed or reconstructed after June 4, 2010;</w:t>
      </w:r>
    </w:p>
    <w:p w14:paraId="60175043" w14:textId="57A31757" w:rsidR="00BD7045" w:rsidRDefault="00BD7045" w:rsidP="00B234C7">
      <w:pPr>
        <w:pStyle w:val="RulesSub-section"/>
        <w:numPr>
          <w:ilvl w:val="0"/>
          <w:numId w:val="22"/>
        </w:numPr>
        <w:tabs>
          <w:tab w:val="left" w:pos="360"/>
          <w:tab w:val="left" w:pos="720"/>
          <w:tab w:val="left" w:pos="1440"/>
          <w:tab w:val="left" w:pos="1800"/>
          <w:tab w:val="left" w:pos="2160"/>
          <w:tab w:val="left" w:pos="2520"/>
          <w:tab w:val="left" w:pos="2880"/>
          <w:tab w:val="left" w:pos="3240"/>
        </w:tabs>
        <w:jc w:val="left"/>
        <w:rPr>
          <w:szCs w:val="22"/>
        </w:rPr>
      </w:pPr>
      <w:r>
        <w:rPr>
          <w:szCs w:val="22"/>
        </w:rPr>
        <w:t>The unit is subject to a 10% opacity limit</w:t>
      </w:r>
      <w:r w:rsidR="00440012" w:rsidRPr="00440012">
        <w:rPr>
          <w:szCs w:val="22"/>
        </w:rPr>
        <w:t xml:space="preserve"> </w:t>
      </w:r>
      <w:r w:rsidR="00440012">
        <w:rPr>
          <w:szCs w:val="22"/>
        </w:rPr>
        <w:t>or the highest hourly average opacity reading measured during the performance test run demonstrating compliance with the applicable</w:t>
      </w:r>
      <w:r w:rsidR="002C5AF1">
        <w:rPr>
          <w:szCs w:val="22"/>
        </w:rPr>
        <w:t xml:space="preserve"> particulate matter (</w:t>
      </w:r>
      <w:r w:rsidR="00440012">
        <w:rPr>
          <w:szCs w:val="22"/>
        </w:rPr>
        <w:t>PM</w:t>
      </w:r>
      <w:r w:rsidR="002C5AF1">
        <w:rPr>
          <w:szCs w:val="22"/>
        </w:rPr>
        <w:t>) or total select metals</w:t>
      </w:r>
      <w:r w:rsidR="00440012">
        <w:rPr>
          <w:szCs w:val="22"/>
        </w:rPr>
        <w:t xml:space="preserve"> (TSM) emission limitation</w:t>
      </w:r>
      <w:r>
        <w:rPr>
          <w:szCs w:val="22"/>
        </w:rPr>
        <w:t xml:space="preserve"> as described in Table 4 of 40 C.F.R. Part</w:t>
      </w:r>
      <w:r w:rsidR="00440012">
        <w:rPr>
          <w:szCs w:val="22"/>
        </w:rPr>
        <w:t> </w:t>
      </w:r>
      <w:r>
        <w:rPr>
          <w:szCs w:val="22"/>
        </w:rPr>
        <w:t xml:space="preserve">63, Subpart DDDDD; or </w:t>
      </w:r>
    </w:p>
    <w:p w14:paraId="2CCFAADF" w14:textId="11D30136" w:rsidR="00BD7045" w:rsidRPr="00BE136A" w:rsidRDefault="008F7CA9" w:rsidP="00B234C7">
      <w:pPr>
        <w:pStyle w:val="RulesSub-section"/>
        <w:numPr>
          <w:ilvl w:val="0"/>
          <w:numId w:val="22"/>
        </w:numPr>
        <w:tabs>
          <w:tab w:val="left" w:pos="360"/>
          <w:tab w:val="left" w:pos="720"/>
          <w:tab w:val="left" w:pos="1440"/>
          <w:tab w:val="left" w:pos="1800"/>
          <w:tab w:val="left" w:pos="2160"/>
          <w:tab w:val="left" w:pos="2520"/>
          <w:tab w:val="left" w:pos="2880"/>
          <w:tab w:val="left" w:pos="3240"/>
        </w:tabs>
        <w:jc w:val="left"/>
        <w:rPr>
          <w:szCs w:val="22"/>
        </w:rPr>
      </w:pPr>
      <w:r>
        <w:rPr>
          <w:szCs w:val="22"/>
        </w:rPr>
        <w:t>The unit is listed in Table 2 of 40 C.F.R. Part 63, Subpart DDDDD and has a filterable particulate matter limitation of less than or equal to 4E-02 pounds per million British thermal units (</w:t>
      </w:r>
      <w:proofErr w:type="spellStart"/>
      <w:r>
        <w:rPr>
          <w:szCs w:val="22"/>
        </w:rPr>
        <w:t>lb</w:t>
      </w:r>
      <w:proofErr w:type="spellEnd"/>
      <w:r>
        <w:rPr>
          <w:szCs w:val="22"/>
        </w:rPr>
        <w:t>/MMBtu).</w:t>
      </w:r>
    </w:p>
    <w:p w14:paraId="7896B3FC" w14:textId="12FA8071" w:rsidR="00BE136A" w:rsidRPr="00BE136A" w:rsidRDefault="00BE136A">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4460D824" w14:textId="17267E31" w:rsidR="00BE136A" w:rsidRPr="00D00106" w:rsidRDefault="00BE136A" w:rsidP="00B234C7">
      <w:pPr>
        <w:pStyle w:val="Heading1"/>
        <w:rPr>
          <w:bCs/>
          <w:sz w:val="22"/>
          <w:szCs w:val="22"/>
        </w:rPr>
      </w:pPr>
      <w:r w:rsidRPr="00D00106">
        <w:rPr>
          <w:sz w:val="22"/>
          <w:szCs w:val="22"/>
        </w:rPr>
        <w:t>Definitions.</w:t>
      </w:r>
    </w:p>
    <w:p w14:paraId="7719EE9E" w14:textId="38E424A7" w:rsidR="00BE136A" w:rsidRPr="00BE136A" w:rsidRDefault="00BE136A">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235EDAE2" w14:textId="2D7CF55C" w:rsidR="00BE136A" w:rsidRDefault="00FD1135"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360"/>
        <w:jc w:val="left"/>
        <w:rPr>
          <w:bCs/>
          <w:szCs w:val="22"/>
        </w:rPr>
      </w:pPr>
      <w:bookmarkStart w:id="2" w:name="_Hlk121904939"/>
      <w:r>
        <w:rPr>
          <w:bCs/>
          <w:szCs w:val="22"/>
        </w:rPr>
        <w:t>U</w:t>
      </w:r>
      <w:r w:rsidR="00BE136A" w:rsidRPr="00BE136A">
        <w:rPr>
          <w:bCs/>
          <w:szCs w:val="22"/>
        </w:rPr>
        <w:t>nless otherwise indicated, the following terms</w:t>
      </w:r>
      <w:r>
        <w:rPr>
          <w:bCs/>
          <w:szCs w:val="22"/>
        </w:rPr>
        <w:t xml:space="preserve"> as used in this </w:t>
      </w:r>
      <w:r w:rsidR="00FA2C7F">
        <w:rPr>
          <w:bCs/>
          <w:szCs w:val="22"/>
        </w:rPr>
        <w:t>C</w:t>
      </w:r>
      <w:r>
        <w:rPr>
          <w:bCs/>
          <w:szCs w:val="22"/>
        </w:rPr>
        <w:t>hapter</w:t>
      </w:r>
      <w:r w:rsidR="00BE136A" w:rsidRPr="00BE136A">
        <w:rPr>
          <w:bCs/>
          <w:szCs w:val="22"/>
        </w:rPr>
        <w:t xml:space="preserve"> have the listed meanings</w:t>
      </w:r>
      <w:r w:rsidR="00C81CA7">
        <w:rPr>
          <w:bCs/>
          <w:szCs w:val="22"/>
        </w:rPr>
        <w:t xml:space="preserve">. Additional applicable definitions may be found in </w:t>
      </w:r>
      <w:r w:rsidR="00C81CA7">
        <w:rPr>
          <w:bCs/>
          <w:i/>
          <w:iCs/>
          <w:szCs w:val="22"/>
        </w:rPr>
        <w:t>Definitions Regulation</w:t>
      </w:r>
      <w:r w:rsidR="00C81CA7">
        <w:rPr>
          <w:bCs/>
          <w:szCs w:val="22"/>
        </w:rPr>
        <w:t xml:space="preserve">, 06-096 C.M.R. </w:t>
      </w:r>
      <w:proofErr w:type="spellStart"/>
      <w:r w:rsidR="00C81CA7">
        <w:rPr>
          <w:bCs/>
          <w:szCs w:val="22"/>
        </w:rPr>
        <w:t>ch.</w:t>
      </w:r>
      <w:proofErr w:type="spellEnd"/>
      <w:r w:rsidR="00C81CA7">
        <w:rPr>
          <w:bCs/>
          <w:szCs w:val="22"/>
        </w:rPr>
        <w:t xml:space="preserve"> 100.</w:t>
      </w:r>
    </w:p>
    <w:bookmarkEnd w:id="2"/>
    <w:p w14:paraId="0BC73F96" w14:textId="75DF1071" w:rsidR="00C81CA7" w:rsidRDefault="00C81CA7">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bCs/>
          <w:szCs w:val="22"/>
        </w:rPr>
      </w:pPr>
    </w:p>
    <w:p w14:paraId="2CA6C32C" w14:textId="7A314D2C" w:rsidR="008F226B" w:rsidRDefault="00E01610"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E01610">
        <w:rPr>
          <w:b/>
          <w:bCs/>
          <w:szCs w:val="22"/>
        </w:rPr>
        <w:t>Bake-</w:t>
      </w:r>
      <w:r w:rsidR="00BB1D83">
        <w:rPr>
          <w:b/>
          <w:bCs/>
          <w:szCs w:val="22"/>
        </w:rPr>
        <w:t>o</w:t>
      </w:r>
      <w:r w:rsidRPr="00E01610">
        <w:rPr>
          <w:b/>
          <w:bCs/>
          <w:szCs w:val="22"/>
        </w:rPr>
        <w:t>ut.</w:t>
      </w:r>
      <w:r>
        <w:rPr>
          <w:szCs w:val="22"/>
        </w:rPr>
        <w:t xml:space="preserve"> “Bake-out” means the removal of condensed or collected material from the heat exchanger of an RTO or the catalyst of an RCO through heating the media to elevated temperatures.</w:t>
      </w:r>
    </w:p>
    <w:p w14:paraId="4D9CACF4" w14:textId="77777777" w:rsidR="003E7964" w:rsidRDefault="003E7964"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1A78847A" w14:textId="5BB6FD75" w:rsidR="003E7964" w:rsidRDefault="003E7964"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C47C8B">
        <w:rPr>
          <w:b/>
          <w:bCs/>
          <w:szCs w:val="22"/>
        </w:rPr>
        <w:t>Boiler.</w:t>
      </w:r>
      <w:r>
        <w:rPr>
          <w:szCs w:val="22"/>
        </w:rPr>
        <w:t xml:space="preserve"> “Boiler” means </w:t>
      </w:r>
      <w:r w:rsidR="00C47C8B">
        <w:rPr>
          <w:szCs w:val="22"/>
        </w:rPr>
        <w:t xml:space="preserve">an enclosed device using controlled flame combustion in which water is heated to recover thermal energy in the form of steam and/or hot water. </w:t>
      </w:r>
      <w:r w:rsidR="005E0D9C" w:rsidRPr="00C47C8B">
        <w:rPr>
          <w:szCs w:val="22"/>
        </w:rPr>
        <w:t xml:space="preserve">This term does not include process heaters as defined in this </w:t>
      </w:r>
      <w:r w:rsidR="00FA2C7F">
        <w:rPr>
          <w:szCs w:val="22"/>
        </w:rPr>
        <w:t>C</w:t>
      </w:r>
      <w:r w:rsidR="005E0D9C" w:rsidRPr="00C47C8B">
        <w:rPr>
          <w:szCs w:val="22"/>
        </w:rPr>
        <w:t>hapt</w:t>
      </w:r>
      <w:r w:rsidR="005E0D9C" w:rsidRPr="00D76C32">
        <w:rPr>
          <w:szCs w:val="22"/>
        </w:rPr>
        <w:t>er. A device that combusts a solid waste</w:t>
      </w:r>
      <w:r w:rsidR="00C47C8B">
        <w:rPr>
          <w:szCs w:val="22"/>
        </w:rPr>
        <w:t xml:space="preserve"> as defined in 40 C.F.R. § 241.3</w:t>
      </w:r>
      <w:r w:rsidR="005E0D9C" w:rsidRPr="00C47C8B">
        <w:rPr>
          <w:szCs w:val="22"/>
        </w:rPr>
        <w:t xml:space="preserve"> </w:t>
      </w:r>
      <w:r w:rsidR="00C47C8B" w:rsidRPr="00C47C8B">
        <w:rPr>
          <w:szCs w:val="22"/>
        </w:rPr>
        <w:t>is not a boiler.</w:t>
      </w:r>
    </w:p>
    <w:p w14:paraId="577B5140" w14:textId="77777777" w:rsidR="00440012" w:rsidRDefault="00440012" w:rsidP="00602FC3">
      <w:pPr>
        <w:pStyle w:val="ListParagraph"/>
        <w:ind w:left="360"/>
        <w:rPr>
          <w:szCs w:val="22"/>
        </w:rPr>
      </w:pPr>
    </w:p>
    <w:p w14:paraId="16265443" w14:textId="30723465" w:rsidR="00440012" w:rsidRPr="00E82284" w:rsidRDefault="00440012"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E82284">
        <w:rPr>
          <w:b/>
          <w:bCs/>
          <w:szCs w:val="22"/>
        </w:rPr>
        <w:t>Continuous Opacity Monitoring System (COMS).</w:t>
      </w:r>
      <w:r w:rsidRPr="00E82284">
        <w:rPr>
          <w:szCs w:val="22"/>
        </w:rPr>
        <w:t xml:space="preserve"> “Continuous Opacity Monitoring System” or “COMS” means the total equipment required for the determination of opacity emissions, including the associated data recording equipment, required pursuant to an air emission license </w:t>
      </w:r>
      <w:proofErr w:type="gramStart"/>
      <w:r w:rsidRPr="00E82284">
        <w:rPr>
          <w:szCs w:val="22"/>
        </w:rPr>
        <w:t>condition</w:t>
      </w:r>
      <w:proofErr w:type="gramEnd"/>
      <w:r w:rsidRPr="00E82284">
        <w:rPr>
          <w:szCs w:val="22"/>
        </w:rPr>
        <w:t xml:space="preserve"> and operated in accordance with </w:t>
      </w:r>
      <w:r w:rsidRPr="00E82284">
        <w:rPr>
          <w:i/>
          <w:iCs/>
          <w:szCs w:val="22"/>
        </w:rPr>
        <w:t>Source Surveillance – Emissions Monitoring</w:t>
      </w:r>
      <w:r w:rsidRPr="00E82284">
        <w:rPr>
          <w:szCs w:val="22"/>
        </w:rPr>
        <w:t>, 06</w:t>
      </w:r>
      <w:r w:rsidR="00602FC3">
        <w:rPr>
          <w:szCs w:val="22"/>
        </w:rPr>
        <w:noBreakHyphen/>
      </w:r>
      <w:r w:rsidRPr="00E82284">
        <w:rPr>
          <w:szCs w:val="22"/>
        </w:rPr>
        <w:t>096</w:t>
      </w:r>
      <w:r w:rsidR="00602FC3">
        <w:rPr>
          <w:szCs w:val="22"/>
        </w:rPr>
        <w:t> </w:t>
      </w:r>
      <w:r w:rsidRPr="00E82284">
        <w:rPr>
          <w:szCs w:val="22"/>
        </w:rPr>
        <w:t xml:space="preserve">C.M.R. </w:t>
      </w:r>
      <w:proofErr w:type="spellStart"/>
      <w:r w:rsidRPr="00E82284">
        <w:rPr>
          <w:szCs w:val="22"/>
        </w:rPr>
        <w:t>ch.</w:t>
      </w:r>
      <w:proofErr w:type="spellEnd"/>
      <w:r w:rsidRPr="00E82284">
        <w:rPr>
          <w:szCs w:val="22"/>
        </w:rPr>
        <w:t xml:space="preserve"> 117.</w:t>
      </w:r>
    </w:p>
    <w:p w14:paraId="7C9B2753" w14:textId="77777777" w:rsidR="008F226B" w:rsidRDefault="008F226B"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65798456" w14:textId="1922C4DB" w:rsidR="008F226B" w:rsidRPr="008F226B" w:rsidRDefault="008F226B"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8F226B">
        <w:rPr>
          <w:b/>
          <w:bCs/>
          <w:iCs/>
          <w:szCs w:val="22"/>
        </w:rPr>
        <w:t>Distillate fuel.</w:t>
      </w:r>
      <w:r w:rsidRPr="008F226B">
        <w:rPr>
          <w:iCs/>
          <w:szCs w:val="22"/>
        </w:rPr>
        <w:t xml:space="preserve"> “Distillate fuel”</w:t>
      </w:r>
      <w:r w:rsidRPr="008F226B">
        <w:rPr>
          <w:szCs w:val="22"/>
        </w:rPr>
        <w:t xml:space="preserve"> means the following:</w:t>
      </w:r>
    </w:p>
    <w:p w14:paraId="01D6BD00" w14:textId="77777777" w:rsidR="008F226B" w:rsidRPr="00BE136A" w:rsidRDefault="008F226B" w:rsidP="00602FC3">
      <w:pPr>
        <w:pStyle w:val="BodyTextIndent"/>
        <w:tabs>
          <w:tab w:val="clear" w:pos="1080"/>
          <w:tab w:val="clear" w:pos="1440"/>
          <w:tab w:val="left" w:pos="1620"/>
        </w:tabs>
        <w:ind w:left="1260" w:hanging="180"/>
        <w:jc w:val="left"/>
        <w:rPr>
          <w:szCs w:val="22"/>
        </w:rPr>
      </w:pPr>
    </w:p>
    <w:p w14:paraId="263FAED9" w14:textId="006F6D08" w:rsidR="008F226B" w:rsidRDefault="008F226B" w:rsidP="00602FC3">
      <w:pPr>
        <w:pStyle w:val="BodyTextIndent"/>
        <w:numPr>
          <w:ilvl w:val="1"/>
          <w:numId w:val="10"/>
        </w:numPr>
        <w:tabs>
          <w:tab w:val="clear" w:pos="1080"/>
          <w:tab w:val="clear" w:pos="1440"/>
          <w:tab w:val="clear" w:pos="1800"/>
        </w:tabs>
        <w:jc w:val="left"/>
        <w:rPr>
          <w:szCs w:val="22"/>
        </w:rPr>
      </w:pPr>
      <w:r w:rsidRPr="00BE136A">
        <w:rPr>
          <w:szCs w:val="22"/>
        </w:rPr>
        <w:t>Fuel oil that complies with the specifications for fuel oil numbers 1 or 2, as defined by the American Society for Testing and Materials (ASTM) in ASTM D396</w:t>
      </w:r>
      <w:r w:rsidR="00735AAA">
        <w:rPr>
          <w:szCs w:val="22"/>
        </w:rPr>
        <w:t xml:space="preserve"> as published in October 2010</w:t>
      </w:r>
      <w:r w:rsidRPr="00BE136A">
        <w:rPr>
          <w:szCs w:val="22"/>
        </w:rPr>
        <w:t>;</w:t>
      </w:r>
    </w:p>
    <w:p w14:paraId="63444A8C" w14:textId="0E376E45" w:rsidR="008F226B" w:rsidRDefault="008F226B" w:rsidP="00602FC3">
      <w:pPr>
        <w:pStyle w:val="BodyTextIndent"/>
        <w:numPr>
          <w:ilvl w:val="1"/>
          <w:numId w:val="10"/>
        </w:numPr>
        <w:tabs>
          <w:tab w:val="clear" w:pos="1080"/>
          <w:tab w:val="clear" w:pos="1440"/>
          <w:tab w:val="clear" w:pos="1800"/>
        </w:tabs>
        <w:jc w:val="left"/>
        <w:rPr>
          <w:szCs w:val="22"/>
        </w:rPr>
      </w:pPr>
      <w:r w:rsidRPr="008F226B">
        <w:rPr>
          <w:szCs w:val="22"/>
        </w:rPr>
        <w:t>Diesel fuel oil numbers 1 or 2, as defined in ASTM D975</w:t>
      </w:r>
      <w:r w:rsidR="00735AAA">
        <w:rPr>
          <w:szCs w:val="22"/>
        </w:rPr>
        <w:t xml:space="preserve"> as published in December 2013</w:t>
      </w:r>
      <w:r w:rsidRPr="008F226B">
        <w:rPr>
          <w:szCs w:val="22"/>
        </w:rPr>
        <w:t>;</w:t>
      </w:r>
    </w:p>
    <w:p w14:paraId="4F6299F6" w14:textId="2F43DB17" w:rsidR="008F226B" w:rsidRDefault="008F226B" w:rsidP="00602FC3">
      <w:pPr>
        <w:pStyle w:val="BodyTextIndent"/>
        <w:numPr>
          <w:ilvl w:val="1"/>
          <w:numId w:val="10"/>
        </w:numPr>
        <w:tabs>
          <w:tab w:val="clear" w:pos="1080"/>
          <w:tab w:val="clear" w:pos="1440"/>
          <w:tab w:val="clear" w:pos="1800"/>
        </w:tabs>
        <w:jc w:val="left"/>
        <w:rPr>
          <w:szCs w:val="22"/>
        </w:rPr>
      </w:pPr>
      <w:r w:rsidRPr="008F226B">
        <w:rPr>
          <w:szCs w:val="22"/>
        </w:rPr>
        <w:t>Kerosene, as defined in ASTM D3699</w:t>
      </w:r>
      <w:r w:rsidR="00735AAA">
        <w:rPr>
          <w:szCs w:val="22"/>
        </w:rPr>
        <w:t xml:space="preserve"> as published in September 2008</w:t>
      </w:r>
      <w:r w:rsidRPr="008F226B">
        <w:rPr>
          <w:szCs w:val="22"/>
        </w:rPr>
        <w:t>;</w:t>
      </w:r>
    </w:p>
    <w:p w14:paraId="1D47B9FF" w14:textId="39A3F78F" w:rsidR="008F226B" w:rsidRDefault="008F226B" w:rsidP="00602FC3">
      <w:pPr>
        <w:pStyle w:val="BodyTextIndent"/>
        <w:numPr>
          <w:ilvl w:val="1"/>
          <w:numId w:val="10"/>
        </w:numPr>
        <w:tabs>
          <w:tab w:val="clear" w:pos="1080"/>
          <w:tab w:val="clear" w:pos="1440"/>
          <w:tab w:val="clear" w:pos="1800"/>
        </w:tabs>
        <w:jc w:val="left"/>
        <w:rPr>
          <w:szCs w:val="22"/>
        </w:rPr>
      </w:pPr>
      <w:r w:rsidRPr="008F226B">
        <w:rPr>
          <w:szCs w:val="22"/>
        </w:rPr>
        <w:t>Biodiesel, as defined in ASTM D6751</w:t>
      </w:r>
      <w:r w:rsidR="00735AAA">
        <w:rPr>
          <w:szCs w:val="22"/>
        </w:rPr>
        <w:t xml:space="preserve"> as published in July 2011</w:t>
      </w:r>
      <w:r w:rsidRPr="008F226B">
        <w:rPr>
          <w:szCs w:val="22"/>
        </w:rPr>
        <w:t xml:space="preserve">; or </w:t>
      </w:r>
    </w:p>
    <w:p w14:paraId="052A72AF" w14:textId="38B2663F" w:rsidR="008F226B" w:rsidRPr="008F226B" w:rsidRDefault="008F226B" w:rsidP="00602FC3">
      <w:pPr>
        <w:pStyle w:val="BodyTextIndent"/>
        <w:numPr>
          <w:ilvl w:val="1"/>
          <w:numId w:val="10"/>
        </w:numPr>
        <w:tabs>
          <w:tab w:val="clear" w:pos="1080"/>
          <w:tab w:val="clear" w:pos="1440"/>
          <w:tab w:val="clear" w:pos="1800"/>
        </w:tabs>
        <w:jc w:val="left"/>
        <w:rPr>
          <w:szCs w:val="22"/>
        </w:rPr>
      </w:pPr>
      <w:r w:rsidRPr="008F226B">
        <w:rPr>
          <w:szCs w:val="22"/>
        </w:rPr>
        <w:lastRenderedPageBreak/>
        <w:t>Biodiesel blends, as defined in ASTM D7467</w:t>
      </w:r>
      <w:r w:rsidR="00735AAA">
        <w:rPr>
          <w:szCs w:val="22"/>
        </w:rPr>
        <w:t xml:space="preserve"> as published in August 2010</w:t>
      </w:r>
      <w:r w:rsidRPr="008F226B">
        <w:rPr>
          <w:szCs w:val="22"/>
        </w:rPr>
        <w:t>.</w:t>
      </w:r>
    </w:p>
    <w:p w14:paraId="49DB62A4" w14:textId="77777777" w:rsidR="00FA1E90" w:rsidRDefault="00FA1E90"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6FFF0D53" w14:textId="70C0607A" w:rsidR="000039FB" w:rsidRPr="00DE56A3" w:rsidRDefault="000039FB"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bookmarkStart w:id="3" w:name="_Hlk121907315"/>
      <w:r>
        <w:rPr>
          <w:b/>
          <w:bCs/>
          <w:szCs w:val="22"/>
        </w:rPr>
        <w:t>License condition.</w:t>
      </w:r>
      <w:r>
        <w:rPr>
          <w:szCs w:val="22"/>
        </w:rPr>
        <w:t xml:space="preserve"> “License condition” means a condition found in the Order section of an air emission license issued pursuant to </w:t>
      </w:r>
      <w:r w:rsidR="00BB1D83" w:rsidRPr="00BB1D83">
        <w:rPr>
          <w:i/>
          <w:iCs/>
          <w:szCs w:val="22"/>
        </w:rPr>
        <w:t xml:space="preserve">Major and </w:t>
      </w:r>
      <w:r>
        <w:rPr>
          <w:i/>
          <w:iCs/>
          <w:szCs w:val="22"/>
        </w:rPr>
        <w:t>Minor Source Air Emission License Regulation</w:t>
      </w:r>
      <w:r>
        <w:rPr>
          <w:szCs w:val="22"/>
        </w:rPr>
        <w:t>, 06</w:t>
      </w:r>
      <w:r>
        <w:rPr>
          <w:szCs w:val="22"/>
        </w:rPr>
        <w:noBreakHyphen/>
        <w:t xml:space="preserve">096 C.M.R. </w:t>
      </w:r>
      <w:proofErr w:type="spellStart"/>
      <w:r>
        <w:rPr>
          <w:szCs w:val="22"/>
        </w:rPr>
        <w:t>ch.</w:t>
      </w:r>
      <w:proofErr w:type="spellEnd"/>
      <w:r>
        <w:rPr>
          <w:szCs w:val="22"/>
        </w:rPr>
        <w:t xml:space="preserve"> 115, or </w:t>
      </w:r>
      <w:r>
        <w:rPr>
          <w:i/>
          <w:iCs/>
          <w:szCs w:val="22"/>
        </w:rPr>
        <w:t>Part 70 Air Emission License Regulation,</w:t>
      </w:r>
      <w:r>
        <w:rPr>
          <w:szCs w:val="22"/>
        </w:rPr>
        <w:t xml:space="preserve"> 06</w:t>
      </w:r>
      <w:r w:rsidR="00BB1D83">
        <w:rPr>
          <w:szCs w:val="22"/>
        </w:rPr>
        <w:noBreakHyphen/>
      </w:r>
      <w:r>
        <w:rPr>
          <w:szCs w:val="22"/>
        </w:rPr>
        <w:t>096</w:t>
      </w:r>
      <w:r w:rsidR="00BB1D83">
        <w:rPr>
          <w:szCs w:val="22"/>
        </w:rPr>
        <w:t> </w:t>
      </w:r>
      <w:r>
        <w:rPr>
          <w:szCs w:val="22"/>
        </w:rPr>
        <w:t xml:space="preserve">C.M.R. </w:t>
      </w:r>
      <w:proofErr w:type="spellStart"/>
      <w:r>
        <w:rPr>
          <w:szCs w:val="22"/>
        </w:rPr>
        <w:t>ch.</w:t>
      </w:r>
      <w:proofErr w:type="spellEnd"/>
      <w:r>
        <w:rPr>
          <w:szCs w:val="22"/>
        </w:rPr>
        <w:t xml:space="preserve"> 140.</w:t>
      </w:r>
    </w:p>
    <w:p w14:paraId="6443CEEF" w14:textId="77777777" w:rsidR="000039FB" w:rsidRPr="000039FB" w:rsidRDefault="000039FB"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0EA3994D" w14:textId="14A3A028" w:rsidR="00957DE3" w:rsidRPr="00957DE3" w:rsidRDefault="00957DE3"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957DE3">
        <w:rPr>
          <w:b/>
          <w:bCs/>
          <w:szCs w:val="22"/>
        </w:rPr>
        <w:t>Make-up air units.</w:t>
      </w:r>
      <w:r>
        <w:rPr>
          <w:szCs w:val="22"/>
        </w:rPr>
        <w:t xml:space="preserve"> “Make-up air units” means equipment designed to provide interior space heating or cooling </w:t>
      </w:r>
      <w:r w:rsidR="003D668A">
        <w:rPr>
          <w:szCs w:val="22"/>
        </w:rPr>
        <w:t>to make up for</w:t>
      </w:r>
      <w:r>
        <w:rPr>
          <w:szCs w:val="22"/>
        </w:rPr>
        <w:t xml:space="preserve"> ventilation loss. The make-up air unit brings fresh air into the space and heats or cools it to the desired condition. </w:t>
      </w:r>
    </w:p>
    <w:p w14:paraId="63079BDA" w14:textId="77777777" w:rsidR="00957DE3" w:rsidRPr="00957DE3" w:rsidRDefault="00957DE3"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00640B8B" w14:textId="2C1555E3" w:rsidR="00FA1E90" w:rsidRPr="008F226B" w:rsidRDefault="00FA1E90"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Pr>
          <w:b/>
          <w:bCs/>
          <w:iCs/>
          <w:szCs w:val="22"/>
        </w:rPr>
        <w:t>Multi-fuel boiler or process heater</w:t>
      </w:r>
      <w:r w:rsidRPr="008F226B">
        <w:rPr>
          <w:b/>
          <w:bCs/>
          <w:iCs/>
          <w:szCs w:val="22"/>
        </w:rPr>
        <w:t>.</w:t>
      </w:r>
      <w:r w:rsidRPr="008F226B">
        <w:rPr>
          <w:iCs/>
          <w:szCs w:val="22"/>
        </w:rPr>
        <w:t xml:space="preserve"> “</w:t>
      </w:r>
      <w:r>
        <w:rPr>
          <w:iCs/>
          <w:szCs w:val="22"/>
        </w:rPr>
        <w:t>Multi-fuel boiler or process heater</w:t>
      </w:r>
      <w:r w:rsidRPr="008F226B">
        <w:rPr>
          <w:iCs/>
          <w:szCs w:val="22"/>
        </w:rPr>
        <w:t>”</w:t>
      </w:r>
      <w:r w:rsidRPr="008F226B">
        <w:rPr>
          <w:szCs w:val="22"/>
        </w:rPr>
        <w:t xml:space="preserve"> means </w:t>
      </w:r>
      <w:r>
        <w:rPr>
          <w:szCs w:val="22"/>
        </w:rPr>
        <w:t xml:space="preserve">a boiler or process heater that </w:t>
      </w:r>
      <w:r w:rsidR="00E82284">
        <w:rPr>
          <w:szCs w:val="22"/>
        </w:rPr>
        <w:t xml:space="preserve">is designed to fire </w:t>
      </w:r>
      <w:r>
        <w:rPr>
          <w:szCs w:val="22"/>
        </w:rPr>
        <w:t xml:space="preserve">more than one type of fuel </w:t>
      </w:r>
      <w:r w:rsidR="00440012">
        <w:rPr>
          <w:szCs w:val="22"/>
        </w:rPr>
        <w:t>concurrently</w:t>
      </w:r>
      <w:r>
        <w:rPr>
          <w:szCs w:val="22"/>
        </w:rPr>
        <w:t xml:space="preserve">. </w:t>
      </w:r>
    </w:p>
    <w:bookmarkEnd w:id="3"/>
    <w:p w14:paraId="51CD3E49" w14:textId="77777777" w:rsidR="00FA1E90" w:rsidRDefault="00FA1E90"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06701B46" w14:textId="06F4DED4" w:rsidR="00C47C8B" w:rsidRDefault="00C47C8B"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D76C32">
        <w:rPr>
          <w:b/>
          <w:bCs/>
          <w:szCs w:val="22"/>
        </w:rPr>
        <w:t>Process heater.</w:t>
      </w:r>
      <w:r>
        <w:rPr>
          <w:szCs w:val="22"/>
        </w:rPr>
        <w:t xml:space="preserve"> “Process heater” means an enclosed device using controlled flame </w:t>
      </w:r>
      <w:r w:rsidR="00735AAA">
        <w:rPr>
          <w:szCs w:val="22"/>
        </w:rPr>
        <w:t>where</w:t>
      </w:r>
      <w:r>
        <w:rPr>
          <w:szCs w:val="22"/>
        </w:rPr>
        <w:t xml:space="preserve"> the unit’s primary purpose is to transfer heat indirectly to a process material (liquid, gas, or solid) or to heat a transfer material (e.g., glycol) for use in a process unit instead of generating steam. </w:t>
      </w:r>
      <w:r w:rsidR="00D76C32">
        <w:rPr>
          <w:szCs w:val="22"/>
        </w:rPr>
        <w:t xml:space="preserve">Process heaters are devices in which the combustion gases do not come into direct contact with the process materials. </w:t>
      </w:r>
      <w:r>
        <w:rPr>
          <w:szCs w:val="22"/>
        </w:rPr>
        <w:t xml:space="preserve"> </w:t>
      </w:r>
    </w:p>
    <w:p w14:paraId="749B954E" w14:textId="77777777" w:rsidR="003F6BC7" w:rsidRDefault="003F6BC7" w:rsidP="00602FC3">
      <w:pPr>
        <w:pStyle w:val="ListParagraph"/>
        <w:ind w:left="360"/>
        <w:rPr>
          <w:szCs w:val="22"/>
        </w:rPr>
      </w:pPr>
    </w:p>
    <w:p w14:paraId="7B1520E3" w14:textId="41E51187" w:rsidR="003F6BC7" w:rsidRDefault="003F6BC7"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3F6BC7">
        <w:rPr>
          <w:b/>
          <w:bCs/>
          <w:szCs w:val="22"/>
        </w:rPr>
        <w:t>Quarter.</w:t>
      </w:r>
      <w:r>
        <w:rPr>
          <w:szCs w:val="22"/>
        </w:rPr>
        <w:t xml:space="preserve"> For standards that require compliance to be demonstrated on a quarterly basis, “quarter” means the period of </w:t>
      </w:r>
      <w:r w:rsidRPr="00BE136A">
        <w:rPr>
          <w:szCs w:val="22"/>
        </w:rPr>
        <w:t>time from January 1 to March 31</w:t>
      </w:r>
      <w:r>
        <w:rPr>
          <w:szCs w:val="22"/>
        </w:rPr>
        <w:t xml:space="preserve"> inclusive</w:t>
      </w:r>
      <w:r w:rsidRPr="00BE136A">
        <w:rPr>
          <w:szCs w:val="22"/>
        </w:rPr>
        <w:t>, April 1 to June 30</w:t>
      </w:r>
      <w:r>
        <w:rPr>
          <w:szCs w:val="22"/>
        </w:rPr>
        <w:t xml:space="preserve"> inclusive</w:t>
      </w:r>
      <w:r w:rsidRPr="00BE136A">
        <w:rPr>
          <w:szCs w:val="22"/>
        </w:rPr>
        <w:t xml:space="preserve">, </w:t>
      </w:r>
      <w:r>
        <w:rPr>
          <w:szCs w:val="22"/>
        </w:rPr>
        <w:t>July</w:t>
      </w:r>
      <w:r w:rsidR="00602FC3">
        <w:rPr>
          <w:szCs w:val="22"/>
        </w:rPr>
        <w:t> </w:t>
      </w:r>
      <w:r>
        <w:rPr>
          <w:szCs w:val="22"/>
        </w:rPr>
        <w:t>1 to September 30 inclusive, and October 1 to December 31 inclusive</w:t>
      </w:r>
      <w:r w:rsidR="00E50AAB">
        <w:rPr>
          <w:szCs w:val="22"/>
        </w:rPr>
        <w:t>.</w:t>
      </w:r>
    </w:p>
    <w:p w14:paraId="6FBB871B" w14:textId="77777777" w:rsidR="00707C21" w:rsidRDefault="00707C21" w:rsidP="00602FC3">
      <w:pPr>
        <w:pStyle w:val="ListParagraph"/>
        <w:ind w:left="360"/>
        <w:rPr>
          <w:szCs w:val="22"/>
        </w:rPr>
      </w:pPr>
    </w:p>
    <w:p w14:paraId="2F65CECE" w14:textId="258A8759" w:rsidR="00707C21" w:rsidRDefault="00707C21"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bookmarkStart w:id="4" w:name="_Hlk141361123"/>
      <w:r>
        <w:rPr>
          <w:b/>
          <w:bCs/>
          <w:szCs w:val="22"/>
        </w:rPr>
        <w:t xml:space="preserve">Recovery </w:t>
      </w:r>
      <w:r w:rsidR="002C5AF1">
        <w:rPr>
          <w:b/>
          <w:bCs/>
          <w:szCs w:val="22"/>
        </w:rPr>
        <w:t>f</w:t>
      </w:r>
      <w:r>
        <w:rPr>
          <w:b/>
          <w:bCs/>
          <w:szCs w:val="22"/>
        </w:rPr>
        <w:t>urnace.</w:t>
      </w:r>
      <w:r>
        <w:rPr>
          <w:szCs w:val="22"/>
        </w:rPr>
        <w:t xml:space="preserve"> “Recovery furnace” has the same meaning as “recovery boiler” as defined in </w:t>
      </w:r>
      <w:r>
        <w:rPr>
          <w:i/>
          <w:iCs/>
          <w:szCs w:val="22"/>
        </w:rPr>
        <w:t>Definitions Regulation,</w:t>
      </w:r>
      <w:r>
        <w:rPr>
          <w:szCs w:val="22"/>
        </w:rPr>
        <w:t xml:space="preserve"> 06-096 C.M.R. </w:t>
      </w:r>
      <w:proofErr w:type="spellStart"/>
      <w:r>
        <w:rPr>
          <w:szCs w:val="22"/>
        </w:rPr>
        <w:t>ch.</w:t>
      </w:r>
      <w:proofErr w:type="spellEnd"/>
      <w:r>
        <w:rPr>
          <w:szCs w:val="22"/>
        </w:rPr>
        <w:t xml:space="preserve"> 100. </w:t>
      </w:r>
    </w:p>
    <w:bookmarkEnd w:id="4"/>
    <w:p w14:paraId="6115E5A4" w14:textId="77777777" w:rsidR="00C47C8B" w:rsidRPr="00C47C8B" w:rsidRDefault="00C47C8B"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5B9876D4" w14:textId="294BA88E" w:rsidR="00F275CF" w:rsidRPr="00E01610" w:rsidRDefault="00F275CF"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E01610">
        <w:rPr>
          <w:b/>
          <w:bCs/>
          <w:szCs w:val="22"/>
        </w:rPr>
        <w:t>Regenerative Catalytic Oxidizer (RCO).</w:t>
      </w:r>
      <w:r>
        <w:rPr>
          <w:szCs w:val="22"/>
        </w:rPr>
        <w:t xml:space="preserve"> “Regenerative Catalytic Oxidizer” or “RCO” means a pollution control device typically used </w:t>
      </w:r>
      <w:r w:rsidR="00D03C77">
        <w:rPr>
          <w:szCs w:val="22"/>
        </w:rPr>
        <w:t xml:space="preserve">to reduce emissions </w:t>
      </w:r>
      <w:r>
        <w:rPr>
          <w:szCs w:val="22"/>
        </w:rPr>
        <w:t xml:space="preserve">of volatile organic compounds and hazardous air pollutants. </w:t>
      </w:r>
      <w:r w:rsidR="00E01610">
        <w:rPr>
          <w:szCs w:val="22"/>
        </w:rPr>
        <w:t>The RC</w:t>
      </w:r>
      <w:r w:rsidR="00E01610" w:rsidRPr="00E01610">
        <w:rPr>
          <w:szCs w:val="22"/>
        </w:rPr>
        <w:t>O raises the temperature of the exhaust stream to oxidize (burn) or pyrolyze (thermally break down) the pollutants. A heat exchanger is used to preheat the exhaust and/or recover waste heat from the treated stream</w:t>
      </w:r>
      <w:r w:rsidR="00D03C77">
        <w:rPr>
          <w:szCs w:val="22"/>
        </w:rPr>
        <w:t>;</w:t>
      </w:r>
      <w:r w:rsidR="00E01610">
        <w:rPr>
          <w:szCs w:val="22"/>
        </w:rPr>
        <w:t xml:space="preserve"> </w:t>
      </w:r>
      <w:r w:rsidR="00E01610" w:rsidRPr="00E01610">
        <w:rPr>
          <w:szCs w:val="22"/>
        </w:rPr>
        <w:t xml:space="preserve">a catalyst is used to </w:t>
      </w:r>
      <w:r w:rsidR="00D03C77">
        <w:rPr>
          <w:szCs w:val="22"/>
        </w:rPr>
        <w:t>facilitate</w:t>
      </w:r>
      <w:r w:rsidR="00E01610" w:rsidRPr="00E01610">
        <w:rPr>
          <w:szCs w:val="22"/>
        </w:rPr>
        <w:t xml:space="preserve"> oxidation at a lower temperature.</w:t>
      </w:r>
    </w:p>
    <w:p w14:paraId="7D23DFE9" w14:textId="77777777" w:rsidR="00E01610" w:rsidRPr="00E01610" w:rsidRDefault="00E01610" w:rsidP="00602FC3">
      <w:pPr>
        <w:pStyle w:val="RulesBasisStatement"/>
        <w:tabs>
          <w:tab w:val="left" w:pos="360"/>
          <w:tab w:val="left" w:pos="720"/>
          <w:tab w:val="left" w:pos="1080"/>
          <w:tab w:val="left" w:pos="1440"/>
          <w:tab w:val="left" w:pos="1800"/>
          <w:tab w:val="left" w:pos="2160"/>
          <w:tab w:val="left" w:pos="2520"/>
          <w:tab w:val="left" w:pos="2880"/>
          <w:tab w:val="left" w:pos="3240"/>
        </w:tabs>
        <w:ind w:left="720"/>
        <w:jc w:val="left"/>
        <w:rPr>
          <w:szCs w:val="22"/>
        </w:rPr>
      </w:pPr>
    </w:p>
    <w:p w14:paraId="5DE605E9" w14:textId="0B170B5E" w:rsidR="00F275CF" w:rsidRDefault="00F275CF" w:rsidP="00602FC3">
      <w:pPr>
        <w:pStyle w:val="RulesBasisStatement"/>
        <w:numPr>
          <w:ilvl w:val="0"/>
          <w:numId w:val="10"/>
        </w:numPr>
        <w:tabs>
          <w:tab w:val="left" w:pos="360"/>
          <w:tab w:val="left" w:pos="720"/>
          <w:tab w:val="left" w:pos="1080"/>
          <w:tab w:val="left" w:pos="1440"/>
          <w:tab w:val="left" w:pos="1800"/>
          <w:tab w:val="left" w:pos="2160"/>
          <w:tab w:val="left" w:pos="2520"/>
          <w:tab w:val="left" w:pos="2880"/>
          <w:tab w:val="left" w:pos="3240"/>
        </w:tabs>
        <w:ind w:left="720"/>
        <w:jc w:val="left"/>
        <w:rPr>
          <w:szCs w:val="22"/>
        </w:rPr>
      </w:pPr>
      <w:r w:rsidRPr="00F275CF">
        <w:rPr>
          <w:b/>
          <w:bCs/>
          <w:szCs w:val="22"/>
        </w:rPr>
        <w:t>Regenerative Thermal Oxidizer (RTO).</w:t>
      </w:r>
      <w:r>
        <w:rPr>
          <w:szCs w:val="22"/>
        </w:rPr>
        <w:t xml:space="preserve"> “Regenerative Thermal Oxidizer” or “RTO” means a pollution control device typically used </w:t>
      </w:r>
      <w:r w:rsidR="00D03C77">
        <w:rPr>
          <w:szCs w:val="22"/>
        </w:rPr>
        <w:t xml:space="preserve">to reduce emissions </w:t>
      </w:r>
      <w:r>
        <w:rPr>
          <w:szCs w:val="22"/>
        </w:rPr>
        <w:t>of volatile organic compounds and hazardous air pollutants. The RTO raises the temperature of the exhaust stream to oxidize (burn) or pyrolyze (thermally break down) the pollutants. A heat exchanger is used to preheat the exhaust and/or recover waste heat from the treated stream.</w:t>
      </w:r>
    </w:p>
    <w:p w14:paraId="5AD30A56" w14:textId="77777777" w:rsidR="00BE136A" w:rsidRPr="00BE136A" w:rsidRDefault="00BE136A">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5E61C78F" w14:textId="3350B8FA" w:rsidR="0062631C" w:rsidRPr="00BE136A" w:rsidRDefault="00B00C45" w:rsidP="00B234C7">
      <w:pPr>
        <w:pStyle w:val="Heading1"/>
        <w:jc w:val="left"/>
        <w:rPr>
          <w:sz w:val="22"/>
          <w:szCs w:val="22"/>
        </w:rPr>
      </w:pPr>
      <w:r w:rsidRPr="00BE136A">
        <w:rPr>
          <w:sz w:val="22"/>
          <w:szCs w:val="22"/>
        </w:rPr>
        <w:t>Compliance Methods</w:t>
      </w:r>
    </w:p>
    <w:p w14:paraId="5E61C790" w14:textId="1EDB1BB7" w:rsidR="0062631C" w:rsidRPr="00BE136A" w:rsidRDefault="0062631C">
      <w:pPr>
        <w:pStyle w:val="RulesNotesection"/>
        <w:tabs>
          <w:tab w:val="left" w:pos="360"/>
          <w:tab w:val="left" w:pos="720"/>
          <w:tab w:val="left" w:pos="1080"/>
          <w:tab w:val="left" w:pos="1440"/>
          <w:tab w:val="left" w:pos="1800"/>
          <w:tab w:val="left" w:pos="2160"/>
          <w:tab w:val="left" w:pos="2520"/>
          <w:tab w:val="left" w:pos="2880"/>
          <w:tab w:val="left" w:pos="3240"/>
        </w:tabs>
        <w:jc w:val="left"/>
        <w:rPr>
          <w:szCs w:val="22"/>
        </w:rPr>
      </w:pPr>
    </w:p>
    <w:p w14:paraId="7E6CF147" w14:textId="3343548B" w:rsidR="00B00C45" w:rsidRPr="00BE136A" w:rsidRDefault="00B00C45" w:rsidP="00B234C7">
      <w:pPr>
        <w:pStyle w:val="Heading2"/>
        <w:numPr>
          <w:ilvl w:val="0"/>
          <w:numId w:val="9"/>
        </w:numPr>
        <w:jc w:val="left"/>
        <w:rPr>
          <w:b w:val="0"/>
          <w:bCs/>
          <w:sz w:val="22"/>
          <w:szCs w:val="22"/>
        </w:rPr>
      </w:pPr>
      <w:r w:rsidRPr="00BE136A">
        <w:rPr>
          <w:b w:val="0"/>
          <w:bCs/>
          <w:sz w:val="22"/>
          <w:szCs w:val="22"/>
        </w:rPr>
        <w:t>For emission units that operate a Continuous Opacity Monitoring System (COMS), the COMS shall be the primary method for demonstrating compliance with the numerical visible emission</w:t>
      </w:r>
      <w:r w:rsidR="000039FB">
        <w:rPr>
          <w:b w:val="0"/>
          <w:bCs/>
          <w:sz w:val="22"/>
          <w:szCs w:val="22"/>
        </w:rPr>
        <w:t>s</w:t>
      </w:r>
      <w:r w:rsidRPr="00BE136A">
        <w:rPr>
          <w:b w:val="0"/>
          <w:bCs/>
          <w:sz w:val="22"/>
          <w:szCs w:val="22"/>
        </w:rPr>
        <w:t xml:space="preserve"> (i.e., percent opacity) standards contained in this regulation.</w:t>
      </w:r>
    </w:p>
    <w:p w14:paraId="34712156" w14:textId="77777777" w:rsidR="00B00C45" w:rsidRPr="00BE136A" w:rsidRDefault="00B00C45">
      <w:pPr>
        <w:rPr>
          <w:sz w:val="22"/>
          <w:szCs w:val="22"/>
        </w:rPr>
      </w:pPr>
    </w:p>
    <w:p w14:paraId="56C301C3" w14:textId="390F2167" w:rsidR="00B00C45" w:rsidRPr="00024760" w:rsidRDefault="00B00C45" w:rsidP="00B234C7">
      <w:pPr>
        <w:pStyle w:val="Heading2"/>
        <w:jc w:val="left"/>
        <w:rPr>
          <w:b w:val="0"/>
          <w:bCs/>
          <w:sz w:val="22"/>
          <w:szCs w:val="22"/>
        </w:rPr>
      </w:pPr>
      <w:r w:rsidRPr="00BE136A">
        <w:rPr>
          <w:b w:val="0"/>
          <w:bCs/>
          <w:sz w:val="22"/>
          <w:szCs w:val="22"/>
        </w:rPr>
        <w:t>For emission units or stationary sources that do not operate a COMS, the primary method for demonstrating compliance with the numerical visible emission</w:t>
      </w:r>
      <w:r w:rsidR="000039FB">
        <w:rPr>
          <w:b w:val="0"/>
          <w:bCs/>
          <w:sz w:val="22"/>
          <w:szCs w:val="22"/>
        </w:rPr>
        <w:t>s</w:t>
      </w:r>
      <w:r w:rsidRPr="00BE136A">
        <w:rPr>
          <w:b w:val="0"/>
          <w:bCs/>
          <w:sz w:val="22"/>
          <w:szCs w:val="22"/>
        </w:rPr>
        <w:t xml:space="preserve"> (i.e., percent opacity) standards contained in this regulation shall be observations conducted in accordance with 40 C.F.R. Part 60, Appendix A, Method 9</w:t>
      </w:r>
      <w:r w:rsidR="00DA0419">
        <w:rPr>
          <w:b w:val="0"/>
          <w:bCs/>
          <w:sz w:val="22"/>
          <w:szCs w:val="22"/>
        </w:rPr>
        <w:t xml:space="preserve"> (as published December 7, 2020)</w:t>
      </w:r>
      <w:r w:rsidRPr="00BE136A">
        <w:rPr>
          <w:b w:val="0"/>
          <w:bCs/>
          <w:sz w:val="22"/>
          <w:szCs w:val="22"/>
        </w:rPr>
        <w:t xml:space="preserve">, unless otherwise </w:t>
      </w:r>
      <w:r w:rsidR="00FD1135">
        <w:rPr>
          <w:b w:val="0"/>
          <w:bCs/>
          <w:sz w:val="22"/>
          <w:szCs w:val="22"/>
        </w:rPr>
        <w:t>specified</w:t>
      </w:r>
      <w:r w:rsidRPr="00BE136A">
        <w:rPr>
          <w:b w:val="0"/>
          <w:bCs/>
          <w:sz w:val="22"/>
          <w:szCs w:val="22"/>
        </w:rPr>
        <w:t>.</w:t>
      </w:r>
    </w:p>
    <w:p w14:paraId="5E61C7CC" w14:textId="28C63454" w:rsidR="00355D10" w:rsidRPr="00BE136A" w:rsidRDefault="0062631C">
      <w:pPr>
        <w:pStyle w:val="RulesBasisStatement"/>
        <w:tabs>
          <w:tab w:val="left" w:pos="360"/>
          <w:tab w:val="left" w:pos="720"/>
          <w:tab w:val="left" w:pos="1080"/>
          <w:tab w:val="left" w:pos="1440"/>
          <w:tab w:val="left" w:pos="1800"/>
          <w:tab w:val="left" w:pos="2160"/>
          <w:tab w:val="left" w:pos="2520"/>
          <w:tab w:val="left" w:pos="2880"/>
          <w:tab w:val="left" w:pos="3240"/>
        </w:tabs>
        <w:ind w:left="1080" w:hanging="360"/>
        <w:jc w:val="left"/>
        <w:rPr>
          <w:szCs w:val="22"/>
        </w:rPr>
      </w:pPr>
      <w:r w:rsidRPr="00BE136A">
        <w:rPr>
          <w:szCs w:val="22"/>
        </w:rPr>
        <w:tab/>
      </w:r>
    </w:p>
    <w:p w14:paraId="66D7A0B0" w14:textId="77777777" w:rsidR="00602FC3" w:rsidRDefault="00602FC3">
      <w:pPr>
        <w:rPr>
          <w:b/>
          <w:sz w:val="22"/>
          <w:szCs w:val="22"/>
        </w:rPr>
      </w:pPr>
      <w:r>
        <w:rPr>
          <w:sz w:val="22"/>
          <w:szCs w:val="22"/>
        </w:rPr>
        <w:br w:type="page"/>
      </w:r>
    </w:p>
    <w:p w14:paraId="5E61C7CD" w14:textId="0BDE3659" w:rsidR="00E1075B" w:rsidRPr="00BE136A" w:rsidRDefault="009864D5" w:rsidP="00B234C7">
      <w:pPr>
        <w:pStyle w:val="Heading1"/>
        <w:jc w:val="left"/>
        <w:rPr>
          <w:sz w:val="22"/>
          <w:szCs w:val="22"/>
        </w:rPr>
      </w:pPr>
      <w:r w:rsidRPr="00BE136A">
        <w:rPr>
          <w:sz w:val="22"/>
          <w:szCs w:val="22"/>
        </w:rPr>
        <w:lastRenderedPageBreak/>
        <w:t>V</w:t>
      </w:r>
      <w:r w:rsidR="00E1075B" w:rsidRPr="00BE136A">
        <w:rPr>
          <w:sz w:val="22"/>
          <w:szCs w:val="22"/>
        </w:rPr>
        <w:t>isible Emission</w:t>
      </w:r>
      <w:r w:rsidR="000039FB">
        <w:rPr>
          <w:sz w:val="22"/>
          <w:szCs w:val="22"/>
        </w:rPr>
        <w:t>s</w:t>
      </w:r>
      <w:r w:rsidR="00E1075B" w:rsidRPr="00BE136A">
        <w:rPr>
          <w:sz w:val="22"/>
          <w:szCs w:val="22"/>
        </w:rPr>
        <w:t xml:space="preserve"> Standards </w:t>
      </w:r>
    </w:p>
    <w:p w14:paraId="5E61C7CE" w14:textId="77777777" w:rsidR="003E5CD0" w:rsidRPr="00BE136A" w:rsidRDefault="003E5CD0">
      <w:pPr>
        <w:pStyle w:val="RulesNotesection"/>
        <w:tabs>
          <w:tab w:val="left" w:pos="360"/>
          <w:tab w:val="left" w:pos="720"/>
          <w:tab w:val="left" w:pos="1080"/>
          <w:tab w:val="left" w:pos="1440"/>
          <w:tab w:val="left" w:pos="1800"/>
          <w:tab w:val="left" w:pos="2160"/>
          <w:tab w:val="left" w:pos="2520"/>
          <w:tab w:val="left" w:pos="2880"/>
          <w:tab w:val="left" w:pos="3240"/>
        </w:tabs>
        <w:jc w:val="left"/>
        <w:rPr>
          <w:szCs w:val="22"/>
        </w:rPr>
      </w:pPr>
    </w:p>
    <w:p w14:paraId="5E61C7CF" w14:textId="4387BA79" w:rsidR="003E5CD0" w:rsidRPr="00BE136A" w:rsidRDefault="003E5CD0">
      <w:pPr>
        <w:pStyle w:val="RulesNotesection"/>
        <w:tabs>
          <w:tab w:val="left" w:pos="720"/>
          <w:tab w:val="left" w:pos="1440"/>
          <w:tab w:val="left" w:pos="1800"/>
          <w:tab w:val="left" w:pos="2160"/>
          <w:tab w:val="left" w:pos="2520"/>
          <w:tab w:val="left" w:pos="2880"/>
          <w:tab w:val="left" w:pos="3240"/>
        </w:tabs>
        <w:ind w:hanging="360"/>
        <w:jc w:val="left"/>
        <w:rPr>
          <w:szCs w:val="22"/>
        </w:rPr>
      </w:pPr>
      <w:r w:rsidRPr="00BE136A">
        <w:rPr>
          <w:szCs w:val="22"/>
        </w:rPr>
        <w:t xml:space="preserve">The following standards shall apply </w:t>
      </w:r>
      <w:r w:rsidR="00FE568F" w:rsidRPr="00BE136A">
        <w:rPr>
          <w:szCs w:val="22"/>
        </w:rPr>
        <w:t>except as provided in Section</w:t>
      </w:r>
      <w:r w:rsidR="00D03C77">
        <w:rPr>
          <w:szCs w:val="22"/>
        </w:rPr>
        <w:t xml:space="preserve"> 5</w:t>
      </w:r>
      <w:r w:rsidRPr="00BE136A">
        <w:rPr>
          <w:szCs w:val="22"/>
        </w:rPr>
        <w:t xml:space="preserve"> of this Chapter:</w:t>
      </w:r>
    </w:p>
    <w:p w14:paraId="5E61C7D0" w14:textId="77777777" w:rsidR="003E5CD0" w:rsidRPr="00BE136A" w:rsidRDefault="003E5CD0">
      <w:pPr>
        <w:pStyle w:val="RulesNotesection"/>
        <w:tabs>
          <w:tab w:val="left" w:pos="360"/>
          <w:tab w:val="left" w:pos="720"/>
          <w:tab w:val="left" w:pos="1080"/>
          <w:tab w:val="left" w:pos="1440"/>
          <w:tab w:val="left" w:pos="1800"/>
          <w:tab w:val="left" w:pos="2160"/>
          <w:tab w:val="left" w:pos="2520"/>
          <w:tab w:val="left" w:pos="2880"/>
          <w:tab w:val="left" w:pos="3240"/>
        </w:tabs>
        <w:jc w:val="left"/>
        <w:rPr>
          <w:szCs w:val="22"/>
        </w:rPr>
      </w:pPr>
    </w:p>
    <w:p w14:paraId="2D37C82E" w14:textId="3CED151C" w:rsidR="002C5AF1" w:rsidRPr="002C5AF1" w:rsidRDefault="003E5CD0" w:rsidP="00B234C7">
      <w:pPr>
        <w:pStyle w:val="Heading2"/>
        <w:numPr>
          <w:ilvl w:val="0"/>
          <w:numId w:val="5"/>
        </w:numPr>
        <w:jc w:val="left"/>
        <w:rPr>
          <w:b w:val="0"/>
          <w:bCs/>
          <w:sz w:val="22"/>
          <w:szCs w:val="22"/>
        </w:rPr>
      </w:pPr>
      <w:r w:rsidRPr="00BE136A">
        <w:rPr>
          <w:sz w:val="22"/>
          <w:szCs w:val="22"/>
        </w:rPr>
        <w:t xml:space="preserve">Fuel </w:t>
      </w:r>
      <w:r w:rsidR="002C5AF1">
        <w:rPr>
          <w:sz w:val="22"/>
          <w:szCs w:val="22"/>
        </w:rPr>
        <w:t>b</w:t>
      </w:r>
      <w:r w:rsidRPr="00BE136A">
        <w:rPr>
          <w:sz w:val="22"/>
          <w:szCs w:val="22"/>
        </w:rPr>
        <w:t xml:space="preserve">urning </w:t>
      </w:r>
      <w:r w:rsidR="002C5AF1">
        <w:rPr>
          <w:sz w:val="22"/>
          <w:szCs w:val="22"/>
        </w:rPr>
        <w:t>e</w:t>
      </w:r>
      <w:r w:rsidRPr="00BE136A">
        <w:rPr>
          <w:sz w:val="22"/>
          <w:szCs w:val="22"/>
        </w:rPr>
        <w:t xml:space="preserve">quipment. </w:t>
      </w:r>
    </w:p>
    <w:p w14:paraId="41FF7A0F" w14:textId="77777777" w:rsidR="002C5AF1" w:rsidRPr="00B755D9" w:rsidRDefault="002C5AF1" w:rsidP="00B755D9">
      <w:pPr>
        <w:rPr>
          <w:sz w:val="22"/>
          <w:szCs w:val="22"/>
        </w:rPr>
      </w:pPr>
    </w:p>
    <w:p w14:paraId="5E61C7D1" w14:textId="5007456E" w:rsidR="003E5CD0" w:rsidRPr="00B755D9" w:rsidRDefault="003E5CD0" w:rsidP="00B755D9">
      <w:pPr>
        <w:ind w:left="720"/>
        <w:rPr>
          <w:b/>
          <w:sz w:val="22"/>
          <w:szCs w:val="22"/>
        </w:rPr>
      </w:pPr>
      <w:r w:rsidRPr="00B755D9">
        <w:rPr>
          <w:sz w:val="22"/>
          <w:szCs w:val="22"/>
        </w:rPr>
        <w:t>Equipment shall be subject to one of the standards in this section:</w:t>
      </w:r>
    </w:p>
    <w:p w14:paraId="5E61C7D2" w14:textId="77777777" w:rsidR="003E5CD0" w:rsidRPr="00BE136A" w:rsidRDefault="003E5CD0">
      <w:pPr>
        <w:pStyle w:val="BodyTextIndent"/>
        <w:tabs>
          <w:tab w:val="clear" w:pos="1080"/>
        </w:tabs>
        <w:ind w:left="0" w:firstLine="0"/>
        <w:jc w:val="left"/>
        <w:rPr>
          <w:szCs w:val="22"/>
        </w:rPr>
      </w:pPr>
    </w:p>
    <w:p w14:paraId="5E61C7D3" w14:textId="05640E28" w:rsidR="003E5CD0" w:rsidRPr="00BE136A" w:rsidRDefault="003E5CD0" w:rsidP="00B234C7">
      <w:pPr>
        <w:pStyle w:val="Heading3"/>
      </w:pPr>
      <w:r w:rsidRPr="00BE136A">
        <w:t>Boilers</w:t>
      </w:r>
      <w:r w:rsidR="00DB6D8F">
        <w:t xml:space="preserve"> and </w:t>
      </w:r>
      <w:r w:rsidR="00DB6D8F" w:rsidRPr="00440012">
        <w:t>Process</w:t>
      </w:r>
      <w:r w:rsidR="00DB6D8F">
        <w:t xml:space="preserve"> Heaters</w:t>
      </w:r>
      <w:r w:rsidRPr="00BE136A">
        <w:t xml:space="preserve"> Firing #4, #5, or #6 Fuel Oil</w:t>
      </w:r>
    </w:p>
    <w:p w14:paraId="5E61C7D4" w14:textId="77777777" w:rsidR="003E5CD0" w:rsidRPr="00BE136A" w:rsidRDefault="003E5CD0">
      <w:pPr>
        <w:pStyle w:val="BodyTextIndent"/>
        <w:tabs>
          <w:tab w:val="clear" w:pos="1440"/>
        </w:tabs>
        <w:ind w:firstLine="0"/>
        <w:jc w:val="left"/>
        <w:rPr>
          <w:szCs w:val="22"/>
        </w:rPr>
      </w:pPr>
    </w:p>
    <w:p w14:paraId="5E61C7D5" w14:textId="0D556B03" w:rsidR="003E3121" w:rsidRPr="00BE136A" w:rsidRDefault="003E3121">
      <w:pPr>
        <w:pStyle w:val="BodyTextIndent"/>
        <w:tabs>
          <w:tab w:val="clear" w:pos="1440"/>
        </w:tabs>
        <w:ind w:firstLine="0"/>
        <w:jc w:val="left"/>
        <w:rPr>
          <w:szCs w:val="22"/>
        </w:rPr>
      </w:pPr>
      <w:r w:rsidRPr="00BE136A">
        <w:rPr>
          <w:szCs w:val="22"/>
        </w:rPr>
        <w:t>Boilers</w:t>
      </w:r>
      <w:r w:rsidR="00DB6D8F">
        <w:rPr>
          <w:szCs w:val="22"/>
        </w:rPr>
        <w:t xml:space="preserve"> and process heaters</w:t>
      </w:r>
      <w:r w:rsidRPr="00BE136A">
        <w:rPr>
          <w:szCs w:val="22"/>
        </w:rPr>
        <w:t xml:space="preserve"> firing #4, #5, or #6 fuel oil shall comply with either (a)</w:t>
      </w:r>
      <w:r w:rsidR="00797797">
        <w:rPr>
          <w:szCs w:val="22"/>
        </w:rPr>
        <w:t xml:space="preserve"> or</w:t>
      </w:r>
      <w:r w:rsidRPr="00BE136A">
        <w:rPr>
          <w:szCs w:val="22"/>
        </w:rPr>
        <w:t xml:space="preserve"> (b) below, as applicable:</w:t>
      </w:r>
    </w:p>
    <w:p w14:paraId="14D23878" w14:textId="7DA7D783" w:rsidR="007504E9" w:rsidRDefault="007504E9">
      <w:pPr>
        <w:rPr>
          <w:sz w:val="22"/>
          <w:szCs w:val="22"/>
        </w:rPr>
      </w:pPr>
      <w:bookmarkStart w:id="5" w:name="_Hlk128052453"/>
    </w:p>
    <w:p w14:paraId="490FAE83" w14:textId="6E4F9974" w:rsidR="00D03C77" w:rsidRDefault="00D03C77" w:rsidP="00B234C7">
      <w:pPr>
        <w:pStyle w:val="BodyTextIndent"/>
        <w:numPr>
          <w:ilvl w:val="0"/>
          <w:numId w:val="7"/>
        </w:numPr>
        <w:tabs>
          <w:tab w:val="clear" w:pos="1080"/>
          <w:tab w:val="clear" w:pos="2160"/>
        </w:tabs>
        <w:jc w:val="left"/>
        <w:rPr>
          <w:szCs w:val="22"/>
        </w:rPr>
      </w:pPr>
      <w:r>
        <w:rPr>
          <w:szCs w:val="22"/>
        </w:rPr>
        <w:t xml:space="preserve">Units Not Monitored by a COMS </w:t>
      </w:r>
    </w:p>
    <w:p w14:paraId="3E020150" w14:textId="77777777" w:rsidR="00D03C77" w:rsidRDefault="00D03C77" w:rsidP="00D03C77">
      <w:pPr>
        <w:pStyle w:val="BodyTextIndent"/>
        <w:tabs>
          <w:tab w:val="clear" w:pos="1080"/>
          <w:tab w:val="clear" w:pos="2160"/>
        </w:tabs>
        <w:ind w:left="1440" w:firstLine="0"/>
        <w:jc w:val="left"/>
        <w:rPr>
          <w:szCs w:val="22"/>
        </w:rPr>
      </w:pPr>
    </w:p>
    <w:p w14:paraId="4C8A5A51" w14:textId="1D940FAF" w:rsidR="0047719E" w:rsidRDefault="003E5CD0" w:rsidP="00B234C7">
      <w:pPr>
        <w:pStyle w:val="BodyTextIndent"/>
        <w:numPr>
          <w:ilvl w:val="0"/>
          <w:numId w:val="21"/>
        </w:numPr>
        <w:tabs>
          <w:tab w:val="clear" w:pos="1080"/>
          <w:tab w:val="clear" w:pos="2160"/>
        </w:tabs>
        <w:jc w:val="left"/>
        <w:rPr>
          <w:szCs w:val="22"/>
        </w:rPr>
      </w:pPr>
      <w:r w:rsidRPr="00BE136A">
        <w:rPr>
          <w:szCs w:val="22"/>
        </w:rPr>
        <w:t>Visible emissions from any unit</w:t>
      </w:r>
      <w:r w:rsidR="00AC4B5C">
        <w:rPr>
          <w:szCs w:val="22"/>
        </w:rPr>
        <w:t xml:space="preserve"> </w:t>
      </w:r>
      <w:r w:rsidR="00A77AE2">
        <w:rPr>
          <w:szCs w:val="22"/>
        </w:rPr>
        <w:t>with a maximum heat input less than 100 million British thermal units per hour (MMBtu/</w:t>
      </w:r>
      <w:proofErr w:type="spellStart"/>
      <w:r w:rsidR="00A77AE2">
        <w:rPr>
          <w:szCs w:val="22"/>
        </w:rPr>
        <w:t>hr</w:t>
      </w:r>
      <w:proofErr w:type="spellEnd"/>
      <w:r w:rsidR="00A77AE2">
        <w:rPr>
          <w:szCs w:val="22"/>
        </w:rPr>
        <w:t xml:space="preserve">) </w:t>
      </w:r>
      <w:r w:rsidR="00E004A8">
        <w:rPr>
          <w:szCs w:val="22"/>
        </w:rPr>
        <w:t>that is not monitored by</w:t>
      </w:r>
      <w:r w:rsidR="00AC4B5C">
        <w:rPr>
          <w:szCs w:val="22"/>
        </w:rPr>
        <w:t xml:space="preserve"> a COMS </w:t>
      </w:r>
      <w:r w:rsidRPr="00BE136A">
        <w:rPr>
          <w:szCs w:val="22"/>
        </w:rPr>
        <w:t xml:space="preserve">shall not exceed </w:t>
      </w:r>
      <w:r w:rsidR="008943FB">
        <w:rPr>
          <w:szCs w:val="22"/>
        </w:rPr>
        <w:t>20</w:t>
      </w:r>
      <w:r w:rsidR="008943FB" w:rsidRPr="00BE136A">
        <w:rPr>
          <w:szCs w:val="22"/>
        </w:rPr>
        <w:t xml:space="preserve"> </w:t>
      </w:r>
      <w:r w:rsidRPr="00BE136A">
        <w:rPr>
          <w:szCs w:val="22"/>
        </w:rPr>
        <w:t xml:space="preserve">percent </w:t>
      </w:r>
      <w:r w:rsidR="00FD1135">
        <w:rPr>
          <w:szCs w:val="22"/>
        </w:rPr>
        <w:t xml:space="preserve">opacity </w:t>
      </w:r>
      <w:r w:rsidRPr="00BE136A">
        <w:rPr>
          <w:szCs w:val="22"/>
        </w:rPr>
        <w:t>on a six (6) minute block average basis</w:t>
      </w:r>
      <w:r w:rsidR="00A77AE2">
        <w:rPr>
          <w:szCs w:val="22"/>
        </w:rPr>
        <w:t>.</w:t>
      </w:r>
      <w:r w:rsidR="00A77AE2" w:rsidRPr="00BE136A" w:rsidDel="00A77AE2">
        <w:rPr>
          <w:szCs w:val="22"/>
        </w:rPr>
        <w:t xml:space="preserve"> </w:t>
      </w:r>
    </w:p>
    <w:p w14:paraId="0A41C719" w14:textId="77777777" w:rsidR="0047719E" w:rsidRDefault="0047719E" w:rsidP="0047719E">
      <w:pPr>
        <w:pStyle w:val="BodyTextIndent"/>
        <w:tabs>
          <w:tab w:val="clear" w:pos="1080"/>
          <w:tab w:val="clear" w:pos="2160"/>
        </w:tabs>
        <w:ind w:left="1800" w:firstLine="0"/>
        <w:jc w:val="left"/>
        <w:rPr>
          <w:szCs w:val="22"/>
        </w:rPr>
      </w:pPr>
    </w:p>
    <w:p w14:paraId="04482C5F" w14:textId="542A79AD" w:rsidR="00347C96" w:rsidRPr="0047719E" w:rsidRDefault="00A77AE2" w:rsidP="00B234C7">
      <w:pPr>
        <w:pStyle w:val="BodyTextIndent"/>
        <w:numPr>
          <w:ilvl w:val="0"/>
          <w:numId w:val="21"/>
        </w:numPr>
        <w:tabs>
          <w:tab w:val="clear" w:pos="1080"/>
          <w:tab w:val="clear" w:pos="2160"/>
        </w:tabs>
        <w:jc w:val="left"/>
        <w:rPr>
          <w:szCs w:val="22"/>
        </w:rPr>
      </w:pPr>
      <w:r w:rsidRPr="0047719E">
        <w:rPr>
          <w:szCs w:val="22"/>
        </w:rPr>
        <w:t>Visible emissions from any unit with a maximum heat input of 100 MMBtu/</w:t>
      </w:r>
      <w:proofErr w:type="spellStart"/>
      <w:r w:rsidRPr="0047719E">
        <w:rPr>
          <w:szCs w:val="22"/>
        </w:rPr>
        <w:t>hr</w:t>
      </w:r>
      <w:proofErr w:type="spellEnd"/>
      <w:r w:rsidRPr="0047719E">
        <w:rPr>
          <w:szCs w:val="22"/>
        </w:rPr>
        <w:t xml:space="preserve"> or greater that is not monitored by a COMS shall not exceed 20 percent opacity on a six (6) minute block average basis, except for periods of startup, shutdown,</w:t>
      </w:r>
      <w:r w:rsidR="000039FB">
        <w:rPr>
          <w:szCs w:val="22"/>
        </w:rPr>
        <w:t xml:space="preserve"> or</w:t>
      </w:r>
      <w:r w:rsidRPr="0047719E">
        <w:rPr>
          <w:szCs w:val="22"/>
        </w:rPr>
        <w:t xml:space="preserve"> malfunction</w:t>
      </w:r>
      <w:r w:rsidR="000803C8" w:rsidRPr="0047719E">
        <w:rPr>
          <w:szCs w:val="22"/>
        </w:rPr>
        <w:t xml:space="preserve"> </w:t>
      </w:r>
      <w:r w:rsidRPr="0047719E">
        <w:rPr>
          <w:szCs w:val="22"/>
        </w:rPr>
        <w:t>during which time</w:t>
      </w:r>
      <w:r w:rsidR="00347C96" w:rsidRPr="0047719E">
        <w:rPr>
          <w:szCs w:val="22"/>
        </w:rPr>
        <w:t xml:space="preserve"> the owner or operator</w:t>
      </w:r>
      <w:r w:rsidR="000039FB">
        <w:rPr>
          <w:szCs w:val="22"/>
        </w:rPr>
        <w:t xml:space="preserve"> must meet the normal operating visible emissions standard or</w:t>
      </w:r>
      <w:r w:rsidR="00347C96" w:rsidRPr="0047719E">
        <w:rPr>
          <w:szCs w:val="22"/>
        </w:rPr>
        <w:t xml:space="preserve"> the following </w:t>
      </w:r>
      <w:r w:rsidR="00DA0419">
        <w:rPr>
          <w:szCs w:val="22"/>
        </w:rPr>
        <w:t>alternative</w:t>
      </w:r>
      <w:r w:rsidRPr="0047719E">
        <w:rPr>
          <w:szCs w:val="22"/>
        </w:rPr>
        <w:t xml:space="preserve"> visible emissions </w:t>
      </w:r>
      <w:r w:rsidR="00347C96" w:rsidRPr="0047719E">
        <w:rPr>
          <w:szCs w:val="22"/>
        </w:rPr>
        <w:t>standard</w:t>
      </w:r>
      <w:r w:rsidR="000803C8" w:rsidRPr="0047719E">
        <w:rPr>
          <w:szCs w:val="22"/>
        </w:rPr>
        <w:t>s</w:t>
      </w:r>
      <w:r w:rsidR="00347C96" w:rsidRPr="0047719E">
        <w:rPr>
          <w:szCs w:val="22"/>
        </w:rPr>
        <w:t xml:space="preserve">. </w:t>
      </w:r>
    </w:p>
    <w:p w14:paraId="5FDAE2FF" w14:textId="77777777" w:rsidR="00347C96" w:rsidRDefault="00347C96">
      <w:pPr>
        <w:pStyle w:val="ListParagraph"/>
        <w:rPr>
          <w:szCs w:val="22"/>
        </w:rPr>
      </w:pPr>
    </w:p>
    <w:p w14:paraId="3492CCD7" w14:textId="032B0B15" w:rsidR="000803C8" w:rsidRDefault="00347C96">
      <w:pPr>
        <w:pStyle w:val="BodyTextIndent"/>
        <w:tabs>
          <w:tab w:val="clear" w:pos="1080"/>
          <w:tab w:val="clear" w:pos="2160"/>
        </w:tabs>
        <w:ind w:left="1800" w:firstLine="0"/>
        <w:jc w:val="left"/>
        <w:rPr>
          <w:szCs w:val="22"/>
        </w:rPr>
      </w:pPr>
      <w:r>
        <w:rPr>
          <w:szCs w:val="22"/>
        </w:rPr>
        <w:t>During periods of startup, shutdown, or malfunction</w:t>
      </w:r>
      <w:r w:rsidR="005C42EB">
        <w:rPr>
          <w:szCs w:val="22"/>
        </w:rPr>
        <w:t>,</w:t>
      </w:r>
      <w:r>
        <w:rPr>
          <w:szCs w:val="22"/>
        </w:rPr>
        <w:t xml:space="preserve"> visible emissions shall </w:t>
      </w:r>
      <w:r w:rsidR="00A77AE2">
        <w:rPr>
          <w:szCs w:val="22"/>
        </w:rPr>
        <w:t>not exceed 30</w:t>
      </w:r>
      <w:r>
        <w:rPr>
          <w:szCs w:val="22"/>
        </w:rPr>
        <w:t> </w:t>
      </w:r>
      <w:r w:rsidR="00A77AE2">
        <w:rPr>
          <w:szCs w:val="22"/>
        </w:rPr>
        <w:t>percent opacity on a six (6) minute block average basis.</w:t>
      </w:r>
      <w:r>
        <w:rPr>
          <w:szCs w:val="22"/>
        </w:rPr>
        <w:t xml:space="preserve"> This </w:t>
      </w:r>
      <w:r w:rsidR="00DA0419">
        <w:rPr>
          <w:szCs w:val="22"/>
        </w:rPr>
        <w:t>alternative</w:t>
      </w:r>
      <w:r>
        <w:rPr>
          <w:szCs w:val="22"/>
        </w:rPr>
        <w:t xml:space="preserve"> visible emissions standard shall not be utilized for more than one hour</w:t>
      </w:r>
      <w:r w:rsidR="000803C8">
        <w:rPr>
          <w:szCs w:val="22"/>
        </w:rPr>
        <w:t xml:space="preserve"> (</w:t>
      </w:r>
      <w:r w:rsidR="00A911E9">
        <w:rPr>
          <w:szCs w:val="22"/>
        </w:rPr>
        <w:t>1</w:t>
      </w:r>
      <w:r w:rsidR="00A911E9" w:rsidRPr="00A71364">
        <w:rPr>
          <w:szCs w:val="22"/>
        </w:rPr>
        <w:t>0 consecutive six-minute block averages</w:t>
      </w:r>
      <w:r w:rsidR="000803C8">
        <w:rPr>
          <w:szCs w:val="22"/>
        </w:rPr>
        <w:t>)</w:t>
      </w:r>
      <w:r>
        <w:rPr>
          <w:szCs w:val="22"/>
        </w:rPr>
        <w:t xml:space="preserve"> per event. </w:t>
      </w:r>
      <w:r w:rsidR="000803C8">
        <w:rPr>
          <w:szCs w:val="22"/>
        </w:rPr>
        <w:t>The owner or operator shall keep records</w:t>
      </w:r>
      <w:r w:rsidR="0047719E">
        <w:rPr>
          <w:szCs w:val="22"/>
        </w:rPr>
        <w:t xml:space="preserve"> as specified</w:t>
      </w:r>
      <w:r w:rsidR="000803C8">
        <w:rPr>
          <w:szCs w:val="22"/>
        </w:rPr>
        <w:t xml:space="preserve"> </w:t>
      </w:r>
      <w:r w:rsidR="00D43DAB">
        <w:rPr>
          <w:szCs w:val="22"/>
        </w:rPr>
        <w:t xml:space="preserve">in Section 6 of this </w:t>
      </w:r>
      <w:r w:rsidR="00FA2C7F">
        <w:rPr>
          <w:szCs w:val="22"/>
        </w:rPr>
        <w:t>C</w:t>
      </w:r>
      <w:r w:rsidR="00D43DAB">
        <w:rPr>
          <w:szCs w:val="22"/>
        </w:rPr>
        <w:t>hapter.</w:t>
      </w:r>
    </w:p>
    <w:bookmarkEnd w:id="5"/>
    <w:p w14:paraId="4D7AA235" w14:textId="77777777" w:rsidR="009864D5" w:rsidRPr="00BE136A" w:rsidRDefault="009864D5">
      <w:pPr>
        <w:pStyle w:val="ListParagraph"/>
        <w:rPr>
          <w:sz w:val="22"/>
          <w:szCs w:val="22"/>
        </w:rPr>
      </w:pPr>
    </w:p>
    <w:p w14:paraId="6A926156" w14:textId="7E948C73" w:rsidR="0047719E" w:rsidRDefault="0047719E" w:rsidP="00B234C7">
      <w:pPr>
        <w:pStyle w:val="BodyTextIndent"/>
        <w:numPr>
          <w:ilvl w:val="0"/>
          <w:numId w:val="7"/>
        </w:numPr>
        <w:tabs>
          <w:tab w:val="clear" w:pos="1080"/>
          <w:tab w:val="clear" w:pos="2160"/>
        </w:tabs>
        <w:jc w:val="left"/>
        <w:rPr>
          <w:szCs w:val="22"/>
        </w:rPr>
      </w:pPr>
      <w:r>
        <w:rPr>
          <w:szCs w:val="22"/>
        </w:rPr>
        <w:t xml:space="preserve">Units Monitored by a COMS </w:t>
      </w:r>
    </w:p>
    <w:p w14:paraId="0CAD0061" w14:textId="77777777" w:rsidR="0047719E" w:rsidRDefault="0047719E" w:rsidP="0047719E">
      <w:pPr>
        <w:pStyle w:val="ListParagraph"/>
        <w:rPr>
          <w:szCs w:val="22"/>
        </w:rPr>
      </w:pPr>
    </w:p>
    <w:p w14:paraId="5E61C7DB" w14:textId="0FAE2786" w:rsidR="003E5CD0" w:rsidRPr="00BE136A" w:rsidRDefault="003E5CD0" w:rsidP="0047719E">
      <w:pPr>
        <w:pStyle w:val="BodyTextIndent"/>
        <w:tabs>
          <w:tab w:val="clear" w:pos="1080"/>
          <w:tab w:val="clear" w:pos="2160"/>
        </w:tabs>
        <w:ind w:left="1440" w:firstLine="0"/>
        <w:jc w:val="left"/>
        <w:rPr>
          <w:szCs w:val="22"/>
        </w:rPr>
      </w:pPr>
      <w:r w:rsidRPr="00BE136A">
        <w:rPr>
          <w:szCs w:val="22"/>
        </w:rPr>
        <w:t xml:space="preserve">Visible emissions from any unit </w:t>
      </w:r>
      <w:r w:rsidR="00797797">
        <w:rPr>
          <w:szCs w:val="22"/>
        </w:rPr>
        <w:t xml:space="preserve">that </w:t>
      </w:r>
      <w:r w:rsidR="00E004A8">
        <w:rPr>
          <w:szCs w:val="22"/>
        </w:rPr>
        <w:t>is monitored by</w:t>
      </w:r>
      <w:r w:rsidR="00797797">
        <w:rPr>
          <w:szCs w:val="22"/>
        </w:rPr>
        <w:t xml:space="preserve"> a COMS </w:t>
      </w:r>
      <w:r w:rsidRPr="00BE136A">
        <w:rPr>
          <w:szCs w:val="22"/>
        </w:rPr>
        <w:t>shall not exceed 20 percent</w:t>
      </w:r>
      <w:r w:rsidR="00FD1135">
        <w:rPr>
          <w:szCs w:val="22"/>
        </w:rPr>
        <w:t xml:space="preserve"> opacity</w:t>
      </w:r>
      <w:r w:rsidRPr="00BE136A">
        <w:rPr>
          <w:szCs w:val="22"/>
        </w:rPr>
        <w:t xml:space="preserve"> on a six (6) minute block average basis for 95 percent of all six (6) minute block averages on a quarterly basis. The remaining 5</w:t>
      </w:r>
      <w:r w:rsidR="000039FB">
        <w:rPr>
          <w:szCs w:val="22"/>
        </w:rPr>
        <w:t> </w:t>
      </w:r>
      <w:r w:rsidRPr="00BE136A">
        <w:rPr>
          <w:szCs w:val="22"/>
        </w:rPr>
        <w:t xml:space="preserve">percent of all six (6) minute block averages on a quarterly basis shall be no greater than </w:t>
      </w:r>
      <w:r w:rsidR="00CC6FFD">
        <w:rPr>
          <w:szCs w:val="22"/>
        </w:rPr>
        <w:t>40</w:t>
      </w:r>
      <w:r w:rsidR="00CC6FFD" w:rsidRPr="00BE136A">
        <w:rPr>
          <w:szCs w:val="22"/>
        </w:rPr>
        <w:t xml:space="preserve"> </w:t>
      </w:r>
      <w:r w:rsidRPr="00BE136A">
        <w:rPr>
          <w:szCs w:val="22"/>
        </w:rPr>
        <w:t>percent opacity. Periods of startup, shutdown</w:t>
      </w:r>
      <w:r w:rsidR="003F15AA">
        <w:rPr>
          <w:szCs w:val="22"/>
        </w:rPr>
        <w:t>,</w:t>
      </w:r>
      <w:r w:rsidRPr="00BE136A">
        <w:rPr>
          <w:szCs w:val="22"/>
        </w:rPr>
        <w:t xml:space="preserve"> and malfunctions are included for the purpose of calculating block averages under this subsection. Periods when the unit is not operating are not included for the purpose of calculating block averages under this subsection. </w:t>
      </w:r>
    </w:p>
    <w:p w14:paraId="5E61C7DC" w14:textId="77777777" w:rsidR="003E5CD0" w:rsidRPr="00BE136A" w:rsidRDefault="003E5CD0">
      <w:pPr>
        <w:pStyle w:val="BodyTextIndent"/>
        <w:tabs>
          <w:tab w:val="clear" w:pos="1800"/>
        </w:tabs>
        <w:ind w:left="1800" w:hanging="720"/>
        <w:jc w:val="left"/>
        <w:rPr>
          <w:szCs w:val="22"/>
        </w:rPr>
      </w:pPr>
    </w:p>
    <w:p w14:paraId="5E61C7DD" w14:textId="6B681F35" w:rsidR="003E5CD0" w:rsidRPr="00BE136A" w:rsidRDefault="003E5CD0" w:rsidP="00B234C7">
      <w:pPr>
        <w:pStyle w:val="Heading3"/>
      </w:pPr>
      <w:r w:rsidRPr="00BE136A">
        <w:t>Boilers</w:t>
      </w:r>
      <w:r w:rsidR="00957DE3">
        <w:t>,</w:t>
      </w:r>
      <w:r w:rsidR="00DB6D8F">
        <w:t xml:space="preserve"> Process Heaters</w:t>
      </w:r>
      <w:r w:rsidR="00957DE3">
        <w:t>, and Make-up Air Units</w:t>
      </w:r>
      <w:r w:rsidRPr="00BE136A">
        <w:t xml:space="preserve"> Firing Distillate Fuel </w:t>
      </w:r>
    </w:p>
    <w:p w14:paraId="5E61C7DE" w14:textId="77777777" w:rsidR="003E5CD0" w:rsidRPr="00BE136A" w:rsidRDefault="003E5CD0">
      <w:pPr>
        <w:pStyle w:val="BodyTextIndent"/>
        <w:tabs>
          <w:tab w:val="clear" w:pos="1440"/>
          <w:tab w:val="clear" w:pos="1800"/>
        </w:tabs>
        <w:ind w:hanging="360"/>
        <w:jc w:val="left"/>
        <w:rPr>
          <w:szCs w:val="22"/>
        </w:rPr>
      </w:pPr>
    </w:p>
    <w:p w14:paraId="5E61C7DF" w14:textId="6508C120" w:rsidR="003E5CD0" w:rsidRPr="00BE136A" w:rsidRDefault="003E5CD0">
      <w:pPr>
        <w:pStyle w:val="BodyTextIndent"/>
        <w:tabs>
          <w:tab w:val="clear" w:pos="1440"/>
          <w:tab w:val="clear" w:pos="1800"/>
        </w:tabs>
        <w:ind w:firstLine="0"/>
        <w:jc w:val="left"/>
        <w:rPr>
          <w:szCs w:val="22"/>
        </w:rPr>
      </w:pPr>
      <w:r w:rsidRPr="00BE136A">
        <w:rPr>
          <w:szCs w:val="22"/>
        </w:rPr>
        <w:t xml:space="preserve">Visible emissions from any unit firing distillate fuel shall not exceed 20 percent </w:t>
      </w:r>
      <w:r w:rsidR="00FD1135">
        <w:rPr>
          <w:szCs w:val="22"/>
        </w:rPr>
        <w:t xml:space="preserve">opacity </w:t>
      </w:r>
      <w:r w:rsidRPr="00BE136A">
        <w:rPr>
          <w:szCs w:val="22"/>
        </w:rPr>
        <w:t>on a six (6) minute block average basis.</w:t>
      </w:r>
    </w:p>
    <w:p w14:paraId="5E61C7EC" w14:textId="77777777" w:rsidR="003E5CD0" w:rsidRPr="00BE136A" w:rsidRDefault="003E5CD0">
      <w:pPr>
        <w:pStyle w:val="BodyTextIndent"/>
        <w:tabs>
          <w:tab w:val="clear" w:pos="1440"/>
        </w:tabs>
        <w:ind w:firstLine="0"/>
        <w:jc w:val="left"/>
        <w:rPr>
          <w:szCs w:val="22"/>
        </w:rPr>
      </w:pPr>
    </w:p>
    <w:p w14:paraId="5E61C7ED" w14:textId="1768A660" w:rsidR="003E5CD0" w:rsidRPr="00BE136A" w:rsidRDefault="003E5CD0" w:rsidP="00B234C7">
      <w:pPr>
        <w:pStyle w:val="Heading3"/>
      </w:pPr>
      <w:r w:rsidRPr="00BE136A">
        <w:t>Boilers</w:t>
      </w:r>
      <w:r w:rsidR="00957DE3">
        <w:t>,</w:t>
      </w:r>
      <w:r w:rsidR="00DB6D8F">
        <w:t xml:space="preserve"> Process Heaters</w:t>
      </w:r>
      <w:r w:rsidR="00957DE3">
        <w:t>, and Make-up Air Units</w:t>
      </w:r>
      <w:r w:rsidRPr="00BE136A">
        <w:t xml:space="preserve"> Firing Natural Gas or Propane </w:t>
      </w:r>
    </w:p>
    <w:p w14:paraId="5E61C7EE" w14:textId="77777777" w:rsidR="003E5CD0" w:rsidRPr="00BE136A" w:rsidRDefault="003E5CD0">
      <w:pPr>
        <w:pStyle w:val="BodyTextIndent"/>
        <w:tabs>
          <w:tab w:val="clear" w:pos="1440"/>
        </w:tabs>
        <w:ind w:hanging="360"/>
        <w:jc w:val="left"/>
        <w:rPr>
          <w:szCs w:val="22"/>
        </w:rPr>
      </w:pPr>
    </w:p>
    <w:p w14:paraId="5E61C7EF" w14:textId="45DF4778" w:rsidR="003E5CD0" w:rsidRPr="00BE136A" w:rsidRDefault="003E5CD0">
      <w:pPr>
        <w:pStyle w:val="BodyTextIndent"/>
        <w:tabs>
          <w:tab w:val="clear" w:pos="1080"/>
          <w:tab w:val="clear" w:pos="1440"/>
        </w:tabs>
        <w:ind w:firstLine="0"/>
        <w:jc w:val="left"/>
        <w:rPr>
          <w:szCs w:val="22"/>
        </w:rPr>
      </w:pPr>
      <w:r w:rsidRPr="00BE136A">
        <w:rPr>
          <w:szCs w:val="22"/>
        </w:rPr>
        <w:t>Visible emissions from any unit firing natural gas or propane shall not exceed 10 percent</w:t>
      </w:r>
      <w:r w:rsidR="00FD1135">
        <w:rPr>
          <w:szCs w:val="22"/>
        </w:rPr>
        <w:t xml:space="preserve"> opacity</w:t>
      </w:r>
      <w:r w:rsidRPr="00BE136A">
        <w:rPr>
          <w:szCs w:val="22"/>
        </w:rPr>
        <w:t xml:space="preserve"> on a six (6) minute block average basis.</w:t>
      </w:r>
    </w:p>
    <w:p w14:paraId="5E61C7F0" w14:textId="77777777" w:rsidR="003E5CD0" w:rsidRPr="00BE136A" w:rsidRDefault="003E5CD0">
      <w:pPr>
        <w:pStyle w:val="BodyTextIndent"/>
        <w:tabs>
          <w:tab w:val="clear" w:pos="1440"/>
        </w:tabs>
        <w:ind w:firstLine="0"/>
        <w:jc w:val="left"/>
        <w:rPr>
          <w:szCs w:val="22"/>
        </w:rPr>
      </w:pPr>
    </w:p>
    <w:p w14:paraId="5E61C7F1" w14:textId="60DA6885" w:rsidR="003E5CD0" w:rsidRPr="00BE136A" w:rsidRDefault="003E5CD0" w:rsidP="00B234C7">
      <w:pPr>
        <w:pStyle w:val="Heading3"/>
      </w:pPr>
      <w:r w:rsidRPr="00BE136A">
        <w:lastRenderedPageBreak/>
        <w:t xml:space="preserve">Stationary Internal Combustion Units </w:t>
      </w:r>
    </w:p>
    <w:p w14:paraId="5E61C7F2" w14:textId="77777777" w:rsidR="003E5CD0" w:rsidRPr="00BE136A" w:rsidRDefault="003E5CD0">
      <w:pPr>
        <w:pStyle w:val="BodyTextIndent"/>
        <w:tabs>
          <w:tab w:val="clear" w:pos="1440"/>
        </w:tabs>
        <w:ind w:hanging="360"/>
        <w:jc w:val="left"/>
        <w:rPr>
          <w:szCs w:val="22"/>
        </w:rPr>
      </w:pPr>
    </w:p>
    <w:p w14:paraId="5E61C7F3" w14:textId="32C3D418" w:rsidR="003E5CD0" w:rsidRPr="00BE136A" w:rsidRDefault="002079E3">
      <w:pPr>
        <w:pStyle w:val="BodyTextIndent"/>
        <w:tabs>
          <w:tab w:val="clear" w:pos="1440"/>
        </w:tabs>
        <w:ind w:firstLine="0"/>
        <w:jc w:val="left"/>
        <w:rPr>
          <w:szCs w:val="22"/>
        </w:rPr>
      </w:pPr>
      <w:r>
        <w:rPr>
          <w:szCs w:val="22"/>
        </w:rPr>
        <w:t>Except as provided for below, v</w:t>
      </w:r>
      <w:r w:rsidR="003E5CD0" w:rsidRPr="00BE136A">
        <w:rPr>
          <w:szCs w:val="22"/>
        </w:rPr>
        <w:t>isible emissions from any stationary internal combustion unit (either reciprocating engine or combustion turbine) shall not exceed 20</w:t>
      </w:r>
      <w:r w:rsidR="00D77595">
        <w:rPr>
          <w:szCs w:val="22"/>
        </w:rPr>
        <w:t> </w:t>
      </w:r>
      <w:r w:rsidR="003E5CD0" w:rsidRPr="00BE136A">
        <w:rPr>
          <w:szCs w:val="22"/>
        </w:rPr>
        <w:t>percent</w:t>
      </w:r>
      <w:r w:rsidR="00FD1135">
        <w:rPr>
          <w:szCs w:val="22"/>
        </w:rPr>
        <w:t xml:space="preserve"> opacity</w:t>
      </w:r>
      <w:r w:rsidR="003E5CD0" w:rsidRPr="00BE136A">
        <w:rPr>
          <w:szCs w:val="22"/>
        </w:rPr>
        <w:t xml:space="preserve"> on a six (6) minute block average basis. </w:t>
      </w:r>
    </w:p>
    <w:p w14:paraId="5E61C7F4" w14:textId="77777777" w:rsidR="003E5CD0" w:rsidRPr="00BE136A" w:rsidRDefault="003E5CD0">
      <w:pPr>
        <w:pStyle w:val="BodyTextIndent"/>
        <w:tabs>
          <w:tab w:val="clear" w:pos="1440"/>
        </w:tabs>
        <w:ind w:hanging="360"/>
        <w:jc w:val="left"/>
        <w:rPr>
          <w:szCs w:val="22"/>
        </w:rPr>
      </w:pPr>
    </w:p>
    <w:p w14:paraId="5E61C7F5" w14:textId="7A5ED2A2" w:rsidR="003E5CD0" w:rsidRDefault="003E5CD0">
      <w:pPr>
        <w:pStyle w:val="BodyTextIndent"/>
        <w:tabs>
          <w:tab w:val="clear" w:pos="1080"/>
          <w:tab w:val="clear" w:pos="1440"/>
        </w:tabs>
        <w:ind w:firstLine="0"/>
        <w:jc w:val="left"/>
        <w:rPr>
          <w:szCs w:val="22"/>
        </w:rPr>
      </w:pPr>
      <w:r w:rsidRPr="00BE136A">
        <w:rPr>
          <w:szCs w:val="22"/>
        </w:rPr>
        <w:t>During periods of startup, the unit</w:t>
      </w:r>
      <w:r w:rsidR="00D43DAB">
        <w:rPr>
          <w:szCs w:val="22"/>
        </w:rPr>
        <w:t xml:space="preserve"> owner or</w:t>
      </w:r>
      <w:r w:rsidRPr="00BE136A">
        <w:rPr>
          <w:szCs w:val="22"/>
        </w:rPr>
        <w:t xml:space="preserve"> operator of a</w:t>
      </w:r>
      <w:r w:rsidR="002079E3">
        <w:rPr>
          <w:szCs w:val="22"/>
        </w:rPr>
        <w:t xml:space="preserve"> stationary</w:t>
      </w:r>
      <w:r w:rsidRPr="00BE136A">
        <w:rPr>
          <w:szCs w:val="22"/>
        </w:rPr>
        <w:t xml:space="preserve"> reciprocating engine</w:t>
      </w:r>
      <w:r w:rsidR="002079E3">
        <w:rPr>
          <w:szCs w:val="22"/>
        </w:rPr>
        <w:t xml:space="preserve"> that fires distillate fuel</w:t>
      </w:r>
      <w:r w:rsidR="00944BDC">
        <w:rPr>
          <w:szCs w:val="22"/>
        </w:rPr>
        <w:t xml:space="preserve"> and was</w:t>
      </w:r>
      <w:r w:rsidR="002079E3">
        <w:rPr>
          <w:szCs w:val="22"/>
        </w:rPr>
        <w:t xml:space="preserve"> constructed prior to</w:t>
      </w:r>
      <w:r w:rsidR="00944BDC">
        <w:rPr>
          <w:szCs w:val="22"/>
        </w:rPr>
        <w:t xml:space="preserve"> April 1, 2006</w:t>
      </w:r>
      <w:r w:rsidR="00DA0419">
        <w:rPr>
          <w:szCs w:val="22"/>
        </w:rPr>
        <w:t>,</w:t>
      </w:r>
      <w:r w:rsidRPr="00BE136A">
        <w:rPr>
          <w:szCs w:val="22"/>
        </w:rPr>
        <w:t xml:space="preserve"> </w:t>
      </w:r>
      <w:r w:rsidR="000039FB">
        <w:rPr>
          <w:szCs w:val="22"/>
        </w:rPr>
        <w:t xml:space="preserve">must meet the normal operating visible emissions standard or </w:t>
      </w:r>
      <w:r w:rsidRPr="00BE136A">
        <w:rPr>
          <w:szCs w:val="22"/>
        </w:rPr>
        <w:t>the</w:t>
      </w:r>
      <w:r w:rsidR="008F226B">
        <w:rPr>
          <w:szCs w:val="22"/>
        </w:rPr>
        <w:t xml:space="preserve"> following</w:t>
      </w:r>
      <w:r w:rsidR="001F46E6">
        <w:rPr>
          <w:szCs w:val="22"/>
        </w:rPr>
        <w:t xml:space="preserve"> </w:t>
      </w:r>
      <w:r w:rsidR="000235C3">
        <w:rPr>
          <w:szCs w:val="22"/>
        </w:rPr>
        <w:t>work practice standard</w:t>
      </w:r>
      <w:r w:rsidR="00F641A0">
        <w:rPr>
          <w:szCs w:val="22"/>
        </w:rPr>
        <w:t>s</w:t>
      </w:r>
      <w:r w:rsidR="000235C3">
        <w:rPr>
          <w:szCs w:val="22"/>
        </w:rPr>
        <w:t xml:space="preserve"> and alternative </w:t>
      </w:r>
      <w:r w:rsidR="00FA1E90">
        <w:rPr>
          <w:szCs w:val="22"/>
        </w:rPr>
        <w:t>visible</w:t>
      </w:r>
      <w:r w:rsidR="001F46E6">
        <w:rPr>
          <w:szCs w:val="22"/>
        </w:rPr>
        <w:t xml:space="preserve"> emission</w:t>
      </w:r>
      <w:r w:rsidR="005C42EB">
        <w:rPr>
          <w:szCs w:val="22"/>
        </w:rPr>
        <w:t>s</w:t>
      </w:r>
      <w:r w:rsidR="001F46E6">
        <w:rPr>
          <w:szCs w:val="22"/>
        </w:rPr>
        <w:t xml:space="preserve"> </w:t>
      </w:r>
      <w:r w:rsidR="000235C3">
        <w:rPr>
          <w:szCs w:val="22"/>
        </w:rPr>
        <w:t>standard</w:t>
      </w:r>
      <w:r w:rsidR="000039FB">
        <w:rPr>
          <w:szCs w:val="22"/>
        </w:rPr>
        <w:t>.</w:t>
      </w:r>
      <w:r w:rsidR="001F46E6">
        <w:rPr>
          <w:szCs w:val="22"/>
        </w:rPr>
        <w:t xml:space="preserve"> </w:t>
      </w:r>
      <w:r w:rsidR="00F641A0">
        <w:rPr>
          <w:szCs w:val="22"/>
        </w:rPr>
        <w:t>Use of the following work practice standards and alternative visible emissions standard in lieu of the normal operating visible emissions standard is limited to no more than once per day.</w:t>
      </w:r>
    </w:p>
    <w:p w14:paraId="4E3F38C8" w14:textId="6A722985" w:rsidR="008F226B" w:rsidRDefault="008F226B">
      <w:pPr>
        <w:pStyle w:val="BodyTextIndent"/>
        <w:tabs>
          <w:tab w:val="clear" w:pos="1080"/>
          <w:tab w:val="clear" w:pos="1440"/>
        </w:tabs>
        <w:ind w:left="1440" w:firstLine="0"/>
        <w:jc w:val="left"/>
        <w:rPr>
          <w:szCs w:val="22"/>
        </w:rPr>
      </w:pPr>
    </w:p>
    <w:p w14:paraId="1FCCB7EE" w14:textId="48C22723" w:rsidR="00176500" w:rsidRPr="000235C3" w:rsidRDefault="00176500" w:rsidP="00B234C7">
      <w:pPr>
        <w:pStyle w:val="BodyTextIndent"/>
        <w:numPr>
          <w:ilvl w:val="0"/>
          <w:numId w:val="12"/>
        </w:numPr>
        <w:tabs>
          <w:tab w:val="clear" w:pos="1080"/>
          <w:tab w:val="clear" w:pos="1440"/>
          <w:tab w:val="clear" w:pos="1800"/>
          <w:tab w:val="clear" w:pos="2160"/>
          <w:tab w:val="clear" w:pos="2520"/>
          <w:tab w:val="clear" w:pos="2880"/>
          <w:tab w:val="left" w:pos="1980"/>
        </w:tabs>
        <w:ind w:left="1440"/>
        <w:jc w:val="left"/>
        <w:rPr>
          <w:szCs w:val="22"/>
        </w:rPr>
      </w:pPr>
      <w:r w:rsidRPr="000235C3">
        <w:rPr>
          <w:szCs w:val="22"/>
        </w:rPr>
        <w:t xml:space="preserve">The duration of the startup shall not exceed 30 minutes per </w:t>
      </w:r>
      <w:r w:rsidR="00DA0419">
        <w:rPr>
          <w:szCs w:val="22"/>
        </w:rPr>
        <w:t>event</w:t>
      </w:r>
      <w:r w:rsidRPr="000235C3">
        <w:rPr>
          <w:szCs w:val="22"/>
        </w:rPr>
        <w:t xml:space="preserve">; </w:t>
      </w:r>
    </w:p>
    <w:p w14:paraId="706B3EA5" w14:textId="4B383C8B" w:rsidR="00176500" w:rsidRDefault="00176500" w:rsidP="00B234C7">
      <w:pPr>
        <w:pStyle w:val="BodyTextIndent"/>
        <w:numPr>
          <w:ilvl w:val="0"/>
          <w:numId w:val="12"/>
        </w:numPr>
        <w:tabs>
          <w:tab w:val="clear" w:pos="1080"/>
          <w:tab w:val="clear" w:pos="1440"/>
          <w:tab w:val="clear" w:pos="1800"/>
          <w:tab w:val="clear" w:pos="2160"/>
          <w:tab w:val="clear" w:pos="2520"/>
          <w:tab w:val="clear" w:pos="2880"/>
          <w:tab w:val="left" w:pos="1980"/>
        </w:tabs>
        <w:ind w:left="1440"/>
        <w:jc w:val="left"/>
        <w:rPr>
          <w:szCs w:val="22"/>
        </w:rPr>
      </w:pPr>
      <w:r w:rsidRPr="00176500">
        <w:rPr>
          <w:szCs w:val="22"/>
        </w:rPr>
        <w:t xml:space="preserve">Visible emissions shall not exceed </w:t>
      </w:r>
      <w:r w:rsidR="00F641A0">
        <w:rPr>
          <w:szCs w:val="22"/>
        </w:rPr>
        <w:t>50</w:t>
      </w:r>
      <w:r w:rsidR="00FD1135">
        <w:rPr>
          <w:szCs w:val="22"/>
        </w:rPr>
        <w:t xml:space="preserve"> percent</w:t>
      </w:r>
      <w:r w:rsidRPr="00176500">
        <w:rPr>
          <w:szCs w:val="22"/>
        </w:rPr>
        <w:t xml:space="preserve"> </w:t>
      </w:r>
      <w:r w:rsidR="00FD1135">
        <w:rPr>
          <w:szCs w:val="22"/>
        </w:rPr>
        <w:t xml:space="preserve">opacity </w:t>
      </w:r>
      <w:r w:rsidRPr="00176500">
        <w:rPr>
          <w:szCs w:val="22"/>
        </w:rPr>
        <w:t xml:space="preserve">on a six (6) minute block average </w:t>
      </w:r>
      <w:r w:rsidR="00AC4B5C" w:rsidRPr="00176500">
        <w:rPr>
          <w:szCs w:val="22"/>
        </w:rPr>
        <w:t>basis</w:t>
      </w:r>
      <w:r w:rsidR="005C42EB">
        <w:rPr>
          <w:szCs w:val="22"/>
        </w:rPr>
        <w:t>; and</w:t>
      </w:r>
    </w:p>
    <w:p w14:paraId="0E56AED7" w14:textId="3BF98FEB" w:rsidR="005C42EB" w:rsidRPr="00176500" w:rsidRDefault="005C42EB" w:rsidP="00B234C7">
      <w:pPr>
        <w:pStyle w:val="BodyTextIndent"/>
        <w:numPr>
          <w:ilvl w:val="0"/>
          <w:numId w:val="12"/>
        </w:numPr>
        <w:tabs>
          <w:tab w:val="clear" w:pos="1080"/>
          <w:tab w:val="clear" w:pos="1440"/>
          <w:tab w:val="clear" w:pos="1800"/>
          <w:tab w:val="clear" w:pos="2160"/>
          <w:tab w:val="clear" w:pos="2520"/>
          <w:tab w:val="clear" w:pos="2880"/>
          <w:tab w:val="left" w:pos="1980"/>
        </w:tabs>
        <w:ind w:left="1440"/>
        <w:jc w:val="left"/>
        <w:rPr>
          <w:szCs w:val="22"/>
        </w:rPr>
      </w:pPr>
      <w:r>
        <w:rPr>
          <w:szCs w:val="22"/>
        </w:rPr>
        <w:t>The owner or operator shall keep records</w:t>
      </w:r>
      <w:r w:rsidR="0047719E">
        <w:rPr>
          <w:szCs w:val="22"/>
        </w:rPr>
        <w:t xml:space="preserve"> as specified</w:t>
      </w:r>
      <w:r>
        <w:rPr>
          <w:szCs w:val="22"/>
        </w:rPr>
        <w:t xml:space="preserve"> in Section 6 of this </w:t>
      </w:r>
      <w:r w:rsidR="00FA2C7F">
        <w:rPr>
          <w:szCs w:val="22"/>
        </w:rPr>
        <w:t>C</w:t>
      </w:r>
      <w:r>
        <w:rPr>
          <w:szCs w:val="22"/>
        </w:rPr>
        <w:t>hapter.</w:t>
      </w:r>
    </w:p>
    <w:p w14:paraId="562EA314" w14:textId="7E481B7C" w:rsidR="00AC4B5C" w:rsidRPr="00BE136A" w:rsidRDefault="00AC4B5C" w:rsidP="000039FB">
      <w:pPr>
        <w:pStyle w:val="BodyTextIndent"/>
        <w:tabs>
          <w:tab w:val="clear" w:pos="1080"/>
          <w:tab w:val="clear" w:pos="1440"/>
        </w:tabs>
        <w:ind w:firstLine="0"/>
        <w:jc w:val="left"/>
        <w:rPr>
          <w:szCs w:val="22"/>
        </w:rPr>
      </w:pPr>
      <w:bookmarkStart w:id="6" w:name="_Hlk121144165"/>
    </w:p>
    <w:p w14:paraId="5E61C7F9" w14:textId="272EE778" w:rsidR="003E5CD0" w:rsidRPr="00BE136A" w:rsidRDefault="003E5CD0" w:rsidP="00B234C7">
      <w:pPr>
        <w:pStyle w:val="Heading3"/>
      </w:pPr>
      <w:bookmarkStart w:id="7" w:name="_Hlk121144399"/>
      <w:r w:rsidRPr="00BE136A">
        <w:t>Boilers</w:t>
      </w:r>
      <w:r w:rsidR="00DB6D8F">
        <w:t xml:space="preserve"> and Process Heaters</w:t>
      </w:r>
      <w:r w:rsidRPr="00BE136A">
        <w:t xml:space="preserve"> Firing Wood /Biomass</w:t>
      </w:r>
    </w:p>
    <w:p w14:paraId="5E61C7FA" w14:textId="77777777" w:rsidR="003E5CD0" w:rsidRPr="00BE136A" w:rsidRDefault="003E5CD0">
      <w:pPr>
        <w:pStyle w:val="BodyTextIndent"/>
        <w:tabs>
          <w:tab w:val="clear" w:pos="1440"/>
        </w:tabs>
        <w:ind w:hanging="360"/>
        <w:jc w:val="left"/>
        <w:rPr>
          <w:szCs w:val="22"/>
        </w:rPr>
      </w:pPr>
    </w:p>
    <w:p w14:paraId="5E61C7FB" w14:textId="4D72AB61" w:rsidR="003E5CD0" w:rsidRPr="00BE136A" w:rsidRDefault="003E5CD0">
      <w:pPr>
        <w:pStyle w:val="BodyTextIndent"/>
        <w:tabs>
          <w:tab w:val="clear" w:pos="1440"/>
        </w:tabs>
        <w:ind w:firstLine="0"/>
        <w:jc w:val="left"/>
        <w:rPr>
          <w:szCs w:val="22"/>
        </w:rPr>
      </w:pPr>
      <w:r w:rsidRPr="00BE136A">
        <w:rPr>
          <w:szCs w:val="22"/>
        </w:rPr>
        <w:t>Boilers</w:t>
      </w:r>
      <w:r w:rsidR="00DB6D8F">
        <w:rPr>
          <w:szCs w:val="22"/>
        </w:rPr>
        <w:t xml:space="preserve"> and process heaters</w:t>
      </w:r>
      <w:r w:rsidRPr="00BE136A">
        <w:rPr>
          <w:szCs w:val="22"/>
        </w:rPr>
        <w:t xml:space="preserve"> firing wood/biomass shall comply with either (a) or (b) below:</w:t>
      </w:r>
    </w:p>
    <w:p w14:paraId="5E61C7FC" w14:textId="77777777" w:rsidR="003E5CD0" w:rsidRPr="00BE136A" w:rsidRDefault="003E5CD0">
      <w:pPr>
        <w:pStyle w:val="BodyTextIndent"/>
        <w:tabs>
          <w:tab w:val="clear" w:pos="1440"/>
        </w:tabs>
        <w:ind w:hanging="360"/>
        <w:jc w:val="left"/>
        <w:rPr>
          <w:szCs w:val="22"/>
        </w:rPr>
      </w:pPr>
    </w:p>
    <w:p w14:paraId="609BFC08" w14:textId="43257856" w:rsidR="0047719E" w:rsidRDefault="0047719E" w:rsidP="00B234C7">
      <w:pPr>
        <w:pStyle w:val="BodyTextIndent"/>
        <w:numPr>
          <w:ilvl w:val="0"/>
          <w:numId w:val="1"/>
        </w:numPr>
        <w:tabs>
          <w:tab w:val="clear" w:pos="1800"/>
        </w:tabs>
        <w:jc w:val="left"/>
        <w:rPr>
          <w:szCs w:val="22"/>
        </w:rPr>
      </w:pPr>
      <w:r>
        <w:rPr>
          <w:szCs w:val="22"/>
        </w:rPr>
        <w:t xml:space="preserve">Units Not Monitored by a COMS </w:t>
      </w:r>
    </w:p>
    <w:p w14:paraId="10C3B8B2" w14:textId="77777777" w:rsidR="0047719E" w:rsidRDefault="0047719E" w:rsidP="0047719E">
      <w:pPr>
        <w:pStyle w:val="BodyTextIndent"/>
        <w:tabs>
          <w:tab w:val="clear" w:pos="1800"/>
        </w:tabs>
        <w:ind w:left="1440" w:firstLine="0"/>
        <w:jc w:val="left"/>
        <w:rPr>
          <w:szCs w:val="22"/>
        </w:rPr>
      </w:pPr>
    </w:p>
    <w:p w14:paraId="03F4380B" w14:textId="307AACCB" w:rsidR="005C42EB" w:rsidRDefault="003E5CD0" w:rsidP="0047719E">
      <w:pPr>
        <w:pStyle w:val="BodyTextIndent"/>
        <w:tabs>
          <w:tab w:val="clear" w:pos="1800"/>
        </w:tabs>
        <w:ind w:left="1440" w:firstLine="0"/>
        <w:jc w:val="left"/>
        <w:rPr>
          <w:szCs w:val="22"/>
        </w:rPr>
      </w:pPr>
      <w:r w:rsidRPr="00BE136A">
        <w:rPr>
          <w:szCs w:val="22"/>
        </w:rPr>
        <w:t>Visible emissions</w:t>
      </w:r>
      <w:r w:rsidR="00AC4B5C">
        <w:rPr>
          <w:szCs w:val="22"/>
        </w:rPr>
        <w:t xml:space="preserve"> from any unit</w:t>
      </w:r>
      <w:r w:rsidR="00E004A8">
        <w:rPr>
          <w:szCs w:val="22"/>
        </w:rPr>
        <w:t xml:space="preserve"> that is not monitored by</w:t>
      </w:r>
      <w:r w:rsidR="00AC4B5C">
        <w:rPr>
          <w:szCs w:val="22"/>
        </w:rPr>
        <w:t xml:space="preserve"> a COMS </w:t>
      </w:r>
      <w:r w:rsidRPr="00BE136A">
        <w:rPr>
          <w:szCs w:val="22"/>
        </w:rPr>
        <w:t xml:space="preserve">shall not exceed 30 percent opacity on a six (6) minute block average basis, except for periods of startup, </w:t>
      </w:r>
      <w:r w:rsidR="00AD23A3" w:rsidRPr="00BE136A">
        <w:rPr>
          <w:szCs w:val="22"/>
        </w:rPr>
        <w:t>shutdown,</w:t>
      </w:r>
      <w:r w:rsidR="000039FB">
        <w:rPr>
          <w:szCs w:val="22"/>
        </w:rPr>
        <w:t xml:space="preserve"> or</w:t>
      </w:r>
      <w:r w:rsidR="00AD23A3" w:rsidRPr="00BE136A">
        <w:rPr>
          <w:szCs w:val="22"/>
        </w:rPr>
        <w:t xml:space="preserve"> malfunction</w:t>
      </w:r>
      <w:r w:rsidR="00B02115">
        <w:rPr>
          <w:szCs w:val="22"/>
        </w:rPr>
        <w:t xml:space="preserve"> </w:t>
      </w:r>
      <w:r w:rsidR="00AC4B5C">
        <w:rPr>
          <w:szCs w:val="22"/>
        </w:rPr>
        <w:t>during which time</w:t>
      </w:r>
      <w:r w:rsidR="005C42EB" w:rsidRPr="005C42EB">
        <w:rPr>
          <w:szCs w:val="22"/>
        </w:rPr>
        <w:t xml:space="preserve"> </w:t>
      </w:r>
      <w:r w:rsidR="005C42EB">
        <w:rPr>
          <w:szCs w:val="22"/>
        </w:rPr>
        <w:t xml:space="preserve">the owner or operator </w:t>
      </w:r>
      <w:r w:rsidR="000039FB">
        <w:rPr>
          <w:szCs w:val="22"/>
        </w:rPr>
        <w:t xml:space="preserve">must meet the normal operating visible emissions standard or </w:t>
      </w:r>
      <w:r w:rsidR="005C42EB">
        <w:rPr>
          <w:szCs w:val="22"/>
        </w:rPr>
        <w:t xml:space="preserve">the following </w:t>
      </w:r>
      <w:r w:rsidR="00DA0419">
        <w:rPr>
          <w:szCs w:val="22"/>
        </w:rPr>
        <w:t>alternative</w:t>
      </w:r>
      <w:r w:rsidR="005C42EB">
        <w:rPr>
          <w:szCs w:val="22"/>
        </w:rPr>
        <w:t xml:space="preserve"> visible emissions standard.</w:t>
      </w:r>
      <w:r w:rsidR="00AC4B5C">
        <w:rPr>
          <w:szCs w:val="22"/>
        </w:rPr>
        <w:t xml:space="preserve"> </w:t>
      </w:r>
    </w:p>
    <w:p w14:paraId="3ECBD5D7" w14:textId="77777777" w:rsidR="005C42EB" w:rsidRDefault="005C42EB">
      <w:pPr>
        <w:pStyle w:val="BodyTextIndent"/>
        <w:tabs>
          <w:tab w:val="clear" w:pos="1800"/>
        </w:tabs>
        <w:ind w:left="1440" w:firstLine="0"/>
        <w:jc w:val="left"/>
        <w:rPr>
          <w:szCs w:val="22"/>
        </w:rPr>
      </w:pPr>
    </w:p>
    <w:p w14:paraId="2F5902A4" w14:textId="5BCDDE95" w:rsidR="005C42EB" w:rsidRPr="000039FB" w:rsidRDefault="005C42EB" w:rsidP="007E2CE2">
      <w:pPr>
        <w:pStyle w:val="BodyTextIndent"/>
        <w:tabs>
          <w:tab w:val="clear" w:pos="1800"/>
        </w:tabs>
        <w:ind w:left="1440" w:firstLine="0"/>
        <w:jc w:val="left"/>
        <w:rPr>
          <w:szCs w:val="22"/>
        </w:rPr>
      </w:pPr>
      <w:r w:rsidRPr="000039FB">
        <w:rPr>
          <w:szCs w:val="22"/>
        </w:rPr>
        <w:t xml:space="preserve">During periods of startup, shutdown, or malfunction, </w:t>
      </w:r>
      <w:r w:rsidR="00AC4B5C" w:rsidRPr="000039FB">
        <w:rPr>
          <w:szCs w:val="22"/>
        </w:rPr>
        <w:t>visible emissions shall not exceed 40 percent</w:t>
      </w:r>
      <w:r w:rsidR="00FD1135" w:rsidRPr="000039FB">
        <w:rPr>
          <w:szCs w:val="22"/>
        </w:rPr>
        <w:t xml:space="preserve"> opacity</w:t>
      </w:r>
      <w:r w:rsidR="00AC4B5C" w:rsidRPr="000039FB">
        <w:rPr>
          <w:szCs w:val="22"/>
        </w:rPr>
        <w:t xml:space="preserve"> on a six (6) minute block average basis. </w:t>
      </w:r>
      <w:r w:rsidRPr="000039FB">
        <w:rPr>
          <w:szCs w:val="22"/>
        </w:rPr>
        <w:t xml:space="preserve">This </w:t>
      </w:r>
      <w:r w:rsidR="00DA0419" w:rsidRPr="000039FB">
        <w:rPr>
          <w:szCs w:val="22"/>
        </w:rPr>
        <w:t>alternative</w:t>
      </w:r>
      <w:r w:rsidRPr="000039FB">
        <w:rPr>
          <w:szCs w:val="22"/>
        </w:rPr>
        <w:t xml:space="preserve"> visible emissions standard shall not be utilized for more than two hours </w:t>
      </w:r>
      <w:r w:rsidR="00AB5267" w:rsidRPr="000039FB">
        <w:rPr>
          <w:szCs w:val="22"/>
        </w:rPr>
        <w:t>(</w:t>
      </w:r>
      <w:r w:rsidR="00A911E9" w:rsidRPr="000039FB">
        <w:rPr>
          <w:szCs w:val="22"/>
        </w:rPr>
        <w:t>20 consecutive six</w:t>
      </w:r>
      <w:r w:rsidR="007504E9">
        <w:rPr>
          <w:szCs w:val="22"/>
        </w:rPr>
        <w:noBreakHyphen/>
      </w:r>
      <w:r w:rsidR="00A911E9" w:rsidRPr="000039FB">
        <w:rPr>
          <w:szCs w:val="22"/>
        </w:rPr>
        <w:t>minute block averages</w:t>
      </w:r>
      <w:r w:rsidR="00AB5267" w:rsidRPr="000039FB">
        <w:rPr>
          <w:szCs w:val="22"/>
        </w:rPr>
        <w:t>)</w:t>
      </w:r>
      <w:r w:rsidRPr="000039FB">
        <w:rPr>
          <w:szCs w:val="22"/>
        </w:rPr>
        <w:t xml:space="preserve"> per event. The owner or operator shall keep records</w:t>
      </w:r>
      <w:r w:rsidR="0047719E" w:rsidRPr="000039FB">
        <w:rPr>
          <w:szCs w:val="22"/>
        </w:rPr>
        <w:t xml:space="preserve"> as specified</w:t>
      </w:r>
      <w:r w:rsidRPr="000039FB">
        <w:rPr>
          <w:szCs w:val="22"/>
        </w:rPr>
        <w:t xml:space="preserve"> in Section 6 of this </w:t>
      </w:r>
      <w:r w:rsidR="00FA2C7F" w:rsidRPr="000039FB">
        <w:rPr>
          <w:szCs w:val="22"/>
        </w:rPr>
        <w:t>C</w:t>
      </w:r>
      <w:r w:rsidRPr="000039FB">
        <w:rPr>
          <w:szCs w:val="22"/>
        </w:rPr>
        <w:t>hapter.</w:t>
      </w:r>
    </w:p>
    <w:p w14:paraId="5E61C7FE" w14:textId="77777777" w:rsidR="003E5CD0" w:rsidRPr="00BE136A" w:rsidRDefault="003E5CD0">
      <w:pPr>
        <w:pStyle w:val="BodyTextIndent"/>
        <w:tabs>
          <w:tab w:val="clear" w:pos="1800"/>
        </w:tabs>
        <w:ind w:left="1440" w:firstLine="0"/>
        <w:jc w:val="left"/>
        <w:rPr>
          <w:szCs w:val="22"/>
        </w:rPr>
      </w:pPr>
    </w:p>
    <w:p w14:paraId="3CEE7368" w14:textId="6D43ABA1" w:rsidR="0047719E" w:rsidRDefault="0047719E" w:rsidP="00B234C7">
      <w:pPr>
        <w:pStyle w:val="BodyTextIndent"/>
        <w:numPr>
          <w:ilvl w:val="0"/>
          <w:numId w:val="1"/>
        </w:numPr>
        <w:tabs>
          <w:tab w:val="clear" w:pos="1800"/>
        </w:tabs>
        <w:jc w:val="left"/>
        <w:rPr>
          <w:szCs w:val="22"/>
        </w:rPr>
      </w:pPr>
      <w:r>
        <w:rPr>
          <w:szCs w:val="22"/>
        </w:rPr>
        <w:t xml:space="preserve">Units Monitored by a COMS </w:t>
      </w:r>
    </w:p>
    <w:p w14:paraId="59BF3E34" w14:textId="77777777" w:rsidR="0047719E" w:rsidRDefault="0047719E" w:rsidP="0047719E">
      <w:pPr>
        <w:pStyle w:val="BodyTextIndent"/>
        <w:tabs>
          <w:tab w:val="clear" w:pos="1800"/>
        </w:tabs>
        <w:ind w:left="1440" w:firstLine="0"/>
        <w:jc w:val="left"/>
        <w:rPr>
          <w:szCs w:val="22"/>
        </w:rPr>
      </w:pPr>
    </w:p>
    <w:p w14:paraId="5E61C7FF" w14:textId="7A35B6C0" w:rsidR="003E5CD0" w:rsidRPr="00BE136A" w:rsidRDefault="003E5CD0" w:rsidP="0047719E">
      <w:pPr>
        <w:pStyle w:val="BodyTextIndent"/>
        <w:tabs>
          <w:tab w:val="clear" w:pos="1800"/>
        </w:tabs>
        <w:ind w:left="1440" w:firstLine="0"/>
        <w:jc w:val="left"/>
        <w:rPr>
          <w:szCs w:val="22"/>
        </w:rPr>
      </w:pPr>
      <w:r w:rsidRPr="00BE136A">
        <w:rPr>
          <w:szCs w:val="22"/>
        </w:rPr>
        <w:t>Visible emissions</w:t>
      </w:r>
      <w:r w:rsidR="00B02115">
        <w:rPr>
          <w:szCs w:val="22"/>
        </w:rPr>
        <w:t xml:space="preserve"> from any unit that </w:t>
      </w:r>
      <w:r w:rsidR="00E004A8">
        <w:rPr>
          <w:szCs w:val="22"/>
        </w:rPr>
        <w:t>is monitored by</w:t>
      </w:r>
      <w:r w:rsidR="00B02115">
        <w:rPr>
          <w:szCs w:val="22"/>
        </w:rPr>
        <w:t xml:space="preserve"> a COMS </w:t>
      </w:r>
      <w:r w:rsidRPr="00BE136A">
        <w:rPr>
          <w:szCs w:val="22"/>
        </w:rPr>
        <w:t xml:space="preserve">shall not exceed 20 percent </w:t>
      </w:r>
      <w:r w:rsidR="00FD1135">
        <w:rPr>
          <w:szCs w:val="22"/>
        </w:rPr>
        <w:t xml:space="preserve">opacity </w:t>
      </w:r>
      <w:r w:rsidRPr="00BE136A">
        <w:rPr>
          <w:szCs w:val="22"/>
        </w:rPr>
        <w:t>on a six (6) minute block average basis for 95 percent of all six (6) minute block averages on a quarterly basis. The remaining 5</w:t>
      </w:r>
      <w:r w:rsidR="007E2CE2">
        <w:rPr>
          <w:szCs w:val="22"/>
        </w:rPr>
        <w:t> </w:t>
      </w:r>
      <w:r w:rsidRPr="00BE136A">
        <w:rPr>
          <w:szCs w:val="22"/>
        </w:rPr>
        <w:t>percent of all six (6) minute block averages on a quarterly basis shall be no greater than 45 percent opacity. Periods of startup, shutdown</w:t>
      </w:r>
      <w:r w:rsidR="00FA1E90">
        <w:rPr>
          <w:szCs w:val="22"/>
        </w:rPr>
        <w:t>,</w:t>
      </w:r>
      <w:r w:rsidRPr="00BE136A">
        <w:rPr>
          <w:szCs w:val="22"/>
        </w:rPr>
        <w:t xml:space="preserve"> and malfunctions are included for the purpose of calculating block averages under this subsection. Periods when the unit is not operating</w:t>
      </w:r>
      <w:r w:rsidR="00B02115">
        <w:rPr>
          <w:szCs w:val="22"/>
        </w:rPr>
        <w:t xml:space="preserve"> </w:t>
      </w:r>
      <w:r w:rsidRPr="00BE136A">
        <w:rPr>
          <w:szCs w:val="22"/>
        </w:rPr>
        <w:t>are not included for the purpose of calculating block averages under this subsection.</w:t>
      </w:r>
    </w:p>
    <w:p w14:paraId="66A03B31" w14:textId="7C4929D5" w:rsidR="007504E9" w:rsidRDefault="007504E9">
      <w:pPr>
        <w:rPr>
          <w:sz w:val="22"/>
          <w:szCs w:val="22"/>
        </w:rPr>
      </w:pPr>
      <w:bookmarkStart w:id="8" w:name="_Hlk141362195"/>
      <w:bookmarkEnd w:id="6"/>
      <w:bookmarkEnd w:id="7"/>
    </w:p>
    <w:p w14:paraId="1E5AD5CA" w14:textId="77777777" w:rsidR="00602FC3" w:rsidRDefault="00602FC3">
      <w:pPr>
        <w:rPr>
          <w:sz w:val="22"/>
          <w:szCs w:val="22"/>
        </w:rPr>
      </w:pPr>
      <w:r>
        <w:br w:type="page"/>
      </w:r>
    </w:p>
    <w:p w14:paraId="4DC2245C" w14:textId="793C6E27" w:rsidR="00E82284" w:rsidRPr="00BE136A" w:rsidRDefault="00E82284" w:rsidP="00B234C7">
      <w:pPr>
        <w:pStyle w:val="Heading3"/>
      </w:pPr>
      <w:r w:rsidRPr="00BE136A">
        <w:lastRenderedPageBreak/>
        <w:t>Multi-Fuel Boilers</w:t>
      </w:r>
      <w:r>
        <w:t xml:space="preserve"> </w:t>
      </w:r>
      <w:r w:rsidR="00B20EDD">
        <w:t>or</w:t>
      </w:r>
      <w:r>
        <w:t xml:space="preserve"> Process Heaters</w:t>
      </w:r>
    </w:p>
    <w:p w14:paraId="2BF9B829" w14:textId="77777777" w:rsidR="00E82284" w:rsidRPr="00BE136A" w:rsidRDefault="00E82284" w:rsidP="00E82284">
      <w:pPr>
        <w:pStyle w:val="BodyTextIndent"/>
        <w:tabs>
          <w:tab w:val="clear" w:pos="1440"/>
        </w:tabs>
        <w:ind w:hanging="360"/>
        <w:jc w:val="left"/>
        <w:rPr>
          <w:szCs w:val="22"/>
        </w:rPr>
      </w:pPr>
    </w:p>
    <w:p w14:paraId="261AD576" w14:textId="3C3825BE" w:rsidR="00E82284" w:rsidRPr="00BE136A" w:rsidRDefault="00E82284" w:rsidP="00E82284">
      <w:pPr>
        <w:pStyle w:val="BodyTextIndent"/>
        <w:tabs>
          <w:tab w:val="clear" w:pos="1440"/>
        </w:tabs>
        <w:ind w:firstLine="0"/>
        <w:jc w:val="left"/>
        <w:rPr>
          <w:szCs w:val="22"/>
        </w:rPr>
      </w:pPr>
      <w:r>
        <w:rPr>
          <w:szCs w:val="22"/>
        </w:rPr>
        <w:t>M</w:t>
      </w:r>
      <w:r w:rsidRPr="00BE136A">
        <w:rPr>
          <w:szCs w:val="22"/>
        </w:rPr>
        <w:t>ulti-fuel boilers</w:t>
      </w:r>
      <w:r>
        <w:rPr>
          <w:szCs w:val="22"/>
        </w:rPr>
        <w:t xml:space="preserve"> </w:t>
      </w:r>
      <w:r w:rsidR="00B20EDD">
        <w:rPr>
          <w:szCs w:val="22"/>
        </w:rPr>
        <w:t>or</w:t>
      </w:r>
      <w:r>
        <w:rPr>
          <w:szCs w:val="22"/>
        </w:rPr>
        <w:t xml:space="preserve"> process heaters</w:t>
      </w:r>
      <w:r w:rsidRPr="00BE136A">
        <w:rPr>
          <w:szCs w:val="22"/>
        </w:rPr>
        <w:t xml:space="preserve"> shall comply with either (a) or (b) below:</w:t>
      </w:r>
    </w:p>
    <w:p w14:paraId="6E7BDE2A" w14:textId="77777777" w:rsidR="00E82284" w:rsidRPr="00BE136A" w:rsidRDefault="00E82284" w:rsidP="00E82284">
      <w:pPr>
        <w:pStyle w:val="BodyTextIndent"/>
        <w:tabs>
          <w:tab w:val="clear" w:pos="1440"/>
        </w:tabs>
        <w:ind w:hanging="360"/>
        <w:jc w:val="left"/>
        <w:rPr>
          <w:szCs w:val="22"/>
        </w:rPr>
      </w:pPr>
    </w:p>
    <w:p w14:paraId="2106EA58" w14:textId="77777777" w:rsidR="00E82284" w:rsidRDefault="00E82284" w:rsidP="00B234C7">
      <w:pPr>
        <w:pStyle w:val="BodyTextIndent"/>
        <w:numPr>
          <w:ilvl w:val="0"/>
          <w:numId w:val="26"/>
        </w:numPr>
        <w:tabs>
          <w:tab w:val="clear" w:pos="1800"/>
        </w:tabs>
        <w:jc w:val="left"/>
        <w:rPr>
          <w:szCs w:val="22"/>
        </w:rPr>
      </w:pPr>
      <w:r>
        <w:rPr>
          <w:szCs w:val="22"/>
        </w:rPr>
        <w:t xml:space="preserve">Units Not Monitored by a COMS </w:t>
      </w:r>
    </w:p>
    <w:p w14:paraId="2158F9D4" w14:textId="5A60C699" w:rsidR="00E82284" w:rsidRDefault="00E82284" w:rsidP="00E82284">
      <w:pPr>
        <w:pStyle w:val="BodyTextIndent"/>
        <w:tabs>
          <w:tab w:val="clear" w:pos="1800"/>
        </w:tabs>
        <w:ind w:left="1440" w:firstLine="0"/>
        <w:jc w:val="left"/>
        <w:rPr>
          <w:szCs w:val="22"/>
        </w:rPr>
      </w:pPr>
    </w:p>
    <w:p w14:paraId="74CCF121" w14:textId="450FF2E9" w:rsidR="00E82284" w:rsidRDefault="00E82284" w:rsidP="00E82284">
      <w:pPr>
        <w:pStyle w:val="BodyTextIndent"/>
        <w:tabs>
          <w:tab w:val="clear" w:pos="1800"/>
        </w:tabs>
        <w:ind w:left="1440" w:firstLine="0"/>
        <w:jc w:val="left"/>
        <w:rPr>
          <w:szCs w:val="22"/>
        </w:rPr>
      </w:pPr>
      <w:r>
        <w:rPr>
          <w:szCs w:val="22"/>
        </w:rPr>
        <w:t xml:space="preserve">Multi-Fuel boilers </w:t>
      </w:r>
      <w:r w:rsidR="00B20EDD">
        <w:rPr>
          <w:szCs w:val="22"/>
        </w:rPr>
        <w:t>or</w:t>
      </w:r>
      <w:r>
        <w:rPr>
          <w:szCs w:val="22"/>
        </w:rPr>
        <w:t xml:space="preserve"> process heaters that are not monitored by a COMS shall comply with either (</w:t>
      </w:r>
      <w:proofErr w:type="spellStart"/>
      <w:r>
        <w:rPr>
          <w:szCs w:val="22"/>
        </w:rPr>
        <w:t>i</w:t>
      </w:r>
      <w:proofErr w:type="spellEnd"/>
      <w:r>
        <w:rPr>
          <w:szCs w:val="22"/>
        </w:rPr>
        <w:t>) or (ii) below:</w:t>
      </w:r>
    </w:p>
    <w:p w14:paraId="78C5B93D" w14:textId="77777777" w:rsidR="00E82284" w:rsidRDefault="00E82284" w:rsidP="00E82284">
      <w:pPr>
        <w:pStyle w:val="BodyTextIndent"/>
        <w:tabs>
          <w:tab w:val="clear" w:pos="1800"/>
        </w:tabs>
        <w:ind w:left="1440" w:firstLine="0"/>
        <w:jc w:val="left"/>
        <w:rPr>
          <w:szCs w:val="22"/>
        </w:rPr>
      </w:pPr>
    </w:p>
    <w:p w14:paraId="54604A4D" w14:textId="77777777" w:rsidR="00E82284" w:rsidRDefault="00E82284" w:rsidP="00B234C7">
      <w:pPr>
        <w:pStyle w:val="BodyTextIndent"/>
        <w:numPr>
          <w:ilvl w:val="0"/>
          <w:numId w:val="25"/>
        </w:numPr>
        <w:tabs>
          <w:tab w:val="clear" w:pos="1800"/>
        </w:tabs>
        <w:jc w:val="left"/>
        <w:rPr>
          <w:szCs w:val="22"/>
        </w:rPr>
      </w:pPr>
      <w:r w:rsidRPr="00BE136A">
        <w:rPr>
          <w:szCs w:val="22"/>
        </w:rPr>
        <w:t>Visible emissions</w:t>
      </w:r>
      <w:r>
        <w:rPr>
          <w:szCs w:val="22"/>
        </w:rPr>
        <w:t xml:space="preserve"> from any unit that is burning multiple fuels concurrently and is not monitored by a COMS </w:t>
      </w:r>
      <w:r w:rsidRPr="00BE136A">
        <w:rPr>
          <w:szCs w:val="22"/>
        </w:rPr>
        <w:t>shall not exceed 30</w:t>
      </w:r>
      <w:r>
        <w:rPr>
          <w:szCs w:val="22"/>
        </w:rPr>
        <w:t> </w:t>
      </w:r>
      <w:r w:rsidRPr="00BE136A">
        <w:rPr>
          <w:szCs w:val="22"/>
        </w:rPr>
        <w:t>percent opacity on a six (6) minute block average basis, except for periods of startup, shutdown,</w:t>
      </w:r>
      <w:r>
        <w:rPr>
          <w:szCs w:val="22"/>
        </w:rPr>
        <w:t xml:space="preserve"> or</w:t>
      </w:r>
      <w:r w:rsidRPr="00BE136A">
        <w:rPr>
          <w:szCs w:val="22"/>
        </w:rPr>
        <w:t xml:space="preserve"> malfunction</w:t>
      </w:r>
      <w:r>
        <w:rPr>
          <w:szCs w:val="22"/>
        </w:rPr>
        <w:t xml:space="preserve"> during which time</w:t>
      </w:r>
      <w:r w:rsidRPr="005C42EB">
        <w:rPr>
          <w:szCs w:val="22"/>
        </w:rPr>
        <w:t xml:space="preserve"> </w:t>
      </w:r>
      <w:r>
        <w:rPr>
          <w:szCs w:val="22"/>
        </w:rPr>
        <w:t xml:space="preserve">the owner or operator must meet the normal operating visible emissions standard or the following alternative visible emissions standard. </w:t>
      </w:r>
    </w:p>
    <w:p w14:paraId="0D0F509B" w14:textId="77777777" w:rsidR="00E82284" w:rsidRDefault="00E82284" w:rsidP="00E82284">
      <w:pPr>
        <w:pStyle w:val="BodyTextIndent"/>
        <w:tabs>
          <w:tab w:val="clear" w:pos="1800"/>
        </w:tabs>
        <w:ind w:left="2160" w:firstLine="0"/>
        <w:jc w:val="left"/>
        <w:rPr>
          <w:szCs w:val="22"/>
        </w:rPr>
      </w:pPr>
    </w:p>
    <w:p w14:paraId="1F93FB9D" w14:textId="77777777" w:rsidR="00E82284" w:rsidRDefault="00E82284" w:rsidP="00E82284">
      <w:pPr>
        <w:pStyle w:val="BodyTextIndent"/>
        <w:tabs>
          <w:tab w:val="clear" w:pos="1800"/>
        </w:tabs>
        <w:ind w:left="2160" w:firstLine="0"/>
        <w:jc w:val="left"/>
        <w:rPr>
          <w:szCs w:val="22"/>
        </w:rPr>
      </w:pPr>
      <w:r w:rsidRPr="00741F65">
        <w:rPr>
          <w:szCs w:val="22"/>
        </w:rPr>
        <w:t>During periods of startup, shutdown, or malfunction, visible emissions shall not exceed 40 percent opacity on a six (6) minute block average basis. This alternative visible emissions standard shall not be utilized for more than two hours (20 consecutive six-minute block averages) per event. The owner or operator shall keep records as specified in Section 6 of this Chapter.</w:t>
      </w:r>
    </w:p>
    <w:p w14:paraId="0B287D72" w14:textId="77777777" w:rsidR="00E82284" w:rsidRDefault="00E82284" w:rsidP="00E82284">
      <w:pPr>
        <w:pStyle w:val="BodyTextIndent"/>
        <w:tabs>
          <w:tab w:val="clear" w:pos="1800"/>
        </w:tabs>
        <w:ind w:left="2160" w:firstLine="0"/>
        <w:jc w:val="left"/>
        <w:rPr>
          <w:szCs w:val="22"/>
        </w:rPr>
      </w:pPr>
    </w:p>
    <w:p w14:paraId="2B6135DD" w14:textId="32501497" w:rsidR="00E82284" w:rsidRPr="00F8561A" w:rsidRDefault="00E82284" w:rsidP="00B234C7">
      <w:pPr>
        <w:pStyle w:val="BodyTextIndent"/>
        <w:numPr>
          <w:ilvl w:val="0"/>
          <w:numId w:val="25"/>
        </w:numPr>
        <w:tabs>
          <w:tab w:val="clear" w:pos="1800"/>
        </w:tabs>
        <w:jc w:val="left"/>
        <w:rPr>
          <w:szCs w:val="22"/>
        </w:rPr>
      </w:pPr>
      <w:r w:rsidRPr="00F8561A">
        <w:rPr>
          <w:szCs w:val="22"/>
        </w:rPr>
        <w:t xml:space="preserve">During periods of time when only one type of fuel is being fired in any unit that is not monitored by a COMS, visible emissions shall not exceed an opacity equivalent to the applicable standard for a unit that fires </w:t>
      </w:r>
      <w:r w:rsidR="002C5AF1">
        <w:rPr>
          <w:szCs w:val="22"/>
        </w:rPr>
        <w:t>that</w:t>
      </w:r>
      <w:r w:rsidRPr="00F8561A">
        <w:rPr>
          <w:szCs w:val="22"/>
        </w:rPr>
        <w:t xml:space="preserve"> single fuel.</w:t>
      </w:r>
    </w:p>
    <w:p w14:paraId="40603302" w14:textId="77777777" w:rsidR="00E82284" w:rsidRPr="00BE136A" w:rsidRDefault="00E82284" w:rsidP="00E82284">
      <w:pPr>
        <w:pStyle w:val="BodyTextIndent"/>
        <w:tabs>
          <w:tab w:val="clear" w:pos="1800"/>
        </w:tabs>
        <w:ind w:left="1440" w:firstLine="0"/>
        <w:jc w:val="left"/>
        <w:rPr>
          <w:szCs w:val="22"/>
        </w:rPr>
      </w:pPr>
    </w:p>
    <w:p w14:paraId="459197FC" w14:textId="77777777" w:rsidR="00E82284" w:rsidRDefault="00E82284" w:rsidP="00B234C7">
      <w:pPr>
        <w:pStyle w:val="BodyTextIndent"/>
        <w:numPr>
          <w:ilvl w:val="0"/>
          <w:numId w:val="26"/>
        </w:numPr>
        <w:tabs>
          <w:tab w:val="clear" w:pos="1800"/>
        </w:tabs>
        <w:jc w:val="left"/>
        <w:rPr>
          <w:szCs w:val="22"/>
        </w:rPr>
      </w:pPr>
      <w:r>
        <w:rPr>
          <w:szCs w:val="22"/>
        </w:rPr>
        <w:t xml:space="preserve">Units Monitored by a COMS </w:t>
      </w:r>
    </w:p>
    <w:p w14:paraId="7D808A97" w14:textId="77777777" w:rsidR="00E82284" w:rsidRDefault="00E82284" w:rsidP="00E82284">
      <w:pPr>
        <w:pStyle w:val="BodyTextIndent"/>
        <w:tabs>
          <w:tab w:val="clear" w:pos="1800"/>
        </w:tabs>
        <w:ind w:left="1440" w:firstLine="0"/>
        <w:jc w:val="left"/>
        <w:rPr>
          <w:szCs w:val="22"/>
        </w:rPr>
      </w:pPr>
    </w:p>
    <w:p w14:paraId="4751C036" w14:textId="05B84BCA" w:rsidR="00E82284" w:rsidRPr="00BE136A" w:rsidRDefault="00E82284" w:rsidP="00E82284">
      <w:pPr>
        <w:pStyle w:val="BodyTextIndent"/>
        <w:tabs>
          <w:tab w:val="clear" w:pos="1800"/>
        </w:tabs>
        <w:ind w:left="1440" w:firstLine="0"/>
        <w:jc w:val="left"/>
        <w:rPr>
          <w:szCs w:val="22"/>
        </w:rPr>
      </w:pPr>
      <w:r w:rsidRPr="00BE136A">
        <w:rPr>
          <w:szCs w:val="22"/>
        </w:rPr>
        <w:t>Visible emissions</w:t>
      </w:r>
      <w:r>
        <w:rPr>
          <w:szCs w:val="22"/>
        </w:rPr>
        <w:t xml:space="preserve"> from any unit that is monitored by a COMS </w:t>
      </w:r>
      <w:r w:rsidRPr="00BE136A">
        <w:rPr>
          <w:szCs w:val="22"/>
        </w:rPr>
        <w:t xml:space="preserve">shall not exceed 20 percent </w:t>
      </w:r>
      <w:r>
        <w:rPr>
          <w:szCs w:val="22"/>
        </w:rPr>
        <w:t xml:space="preserve">opacity </w:t>
      </w:r>
      <w:r w:rsidRPr="00BE136A">
        <w:rPr>
          <w:szCs w:val="22"/>
        </w:rPr>
        <w:t>on a six (6) minute block average basis for 95 percent of all six (6) minute block averages on a quarterly basis. The remaining 5</w:t>
      </w:r>
      <w:r>
        <w:rPr>
          <w:szCs w:val="22"/>
        </w:rPr>
        <w:t> </w:t>
      </w:r>
      <w:r w:rsidRPr="00BE136A">
        <w:rPr>
          <w:szCs w:val="22"/>
        </w:rPr>
        <w:t>percent of all six (6) minute block averages on a quarterly basis shall be no greater than 45 percent opacity. Periods of startup, shutdown</w:t>
      </w:r>
      <w:r>
        <w:rPr>
          <w:szCs w:val="22"/>
        </w:rPr>
        <w:t>,</w:t>
      </w:r>
      <w:r w:rsidRPr="00BE136A">
        <w:rPr>
          <w:szCs w:val="22"/>
        </w:rPr>
        <w:t xml:space="preserve"> and malfunctions are included for the purpose of calculating block averages under this subsection. Periods when the unit is not operating</w:t>
      </w:r>
      <w:r>
        <w:rPr>
          <w:szCs w:val="22"/>
        </w:rPr>
        <w:t xml:space="preserve"> </w:t>
      </w:r>
      <w:r w:rsidRPr="00BE136A">
        <w:rPr>
          <w:szCs w:val="22"/>
        </w:rPr>
        <w:t>are not included for the purpose of calculating block averages under this subsection.</w:t>
      </w:r>
    </w:p>
    <w:p w14:paraId="4A571CD6" w14:textId="77777777" w:rsidR="00914279" w:rsidRPr="00BE136A" w:rsidRDefault="00914279" w:rsidP="00914279">
      <w:pPr>
        <w:pStyle w:val="BodyTextIndent"/>
        <w:tabs>
          <w:tab w:val="clear" w:pos="1080"/>
          <w:tab w:val="clear" w:pos="1440"/>
        </w:tabs>
        <w:ind w:firstLine="0"/>
        <w:jc w:val="left"/>
        <w:rPr>
          <w:szCs w:val="22"/>
        </w:rPr>
      </w:pPr>
    </w:p>
    <w:p w14:paraId="0AFA09DF" w14:textId="26CD0B14" w:rsidR="00914279" w:rsidRPr="00E1267B" w:rsidRDefault="00914279" w:rsidP="00B234C7">
      <w:pPr>
        <w:pStyle w:val="Heading3"/>
      </w:pPr>
      <w:r w:rsidRPr="00E1267B">
        <w:t>Recovery Furnaces</w:t>
      </w:r>
    </w:p>
    <w:p w14:paraId="35597878" w14:textId="77777777" w:rsidR="00914279" w:rsidRPr="00E1267B" w:rsidRDefault="00914279" w:rsidP="00914279">
      <w:pPr>
        <w:pStyle w:val="BodyTextIndent"/>
        <w:tabs>
          <w:tab w:val="clear" w:pos="1440"/>
        </w:tabs>
        <w:ind w:hanging="360"/>
        <w:jc w:val="left"/>
        <w:rPr>
          <w:szCs w:val="22"/>
        </w:rPr>
      </w:pPr>
    </w:p>
    <w:p w14:paraId="2E248DD1" w14:textId="13229DCE" w:rsidR="00914279" w:rsidRPr="00E1267B" w:rsidRDefault="002C5AF1" w:rsidP="00B234C7">
      <w:pPr>
        <w:pStyle w:val="BodyTextIndent"/>
        <w:numPr>
          <w:ilvl w:val="0"/>
          <w:numId w:val="27"/>
        </w:numPr>
        <w:tabs>
          <w:tab w:val="clear" w:pos="1800"/>
        </w:tabs>
        <w:jc w:val="left"/>
        <w:rPr>
          <w:szCs w:val="22"/>
        </w:rPr>
      </w:pPr>
      <w:r>
        <w:rPr>
          <w:szCs w:val="22"/>
        </w:rPr>
        <w:t>Each r</w:t>
      </w:r>
      <w:r w:rsidR="00B234C7" w:rsidRPr="00E1267B">
        <w:rPr>
          <w:szCs w:val="22"/>
        </w:rPr>
        <w:t>ecovery furnace shall be monitored</w:t>
      </w:r>
      <w:r w:rsidR="00914279" w:rsidRPr="00E1267B">
        <w:rPr>
          <w:szCs w:val="22"/>
        </w:rPr>
        <w:t xml:space="preserve"> by a COMS</w:t>
      </w:r>
      <w:r w:rsidR="00B234C7" w:rsidRPr="00E1267B">
        <w:rPr>
          <w:szCs w:val="22"/>
        </w:rPr>
        <w:t>.</w:t>
      </w:r>
      <w:r w:rsidR="00914279" w:rsidRPr="00E1267B">
        <w:rPr>
          <w:szCs w:val="22"/>
        </w:rPr>
        <w:t xml:space="preserve"> </w:t>
      </w:r>
    </w:p>
    <w:p w14:paraId="46470560" w14:textId="77777777" w:rsidR="00914279" w:rsidRPr="00E1267B" w:rsidRDefault="00914279" w:rsidP="00914279">
      <w:pPr>
        <w:pStyle w:val="BodyTextIndent"/>
        <w:tabs>
          <w:tab w:val="clear" w:pos="1800"/>
        </w:tabs>
        <w:ind w:left="1440" w:firstLine="0"/>
        <w:jc w:val="left"/>
        <w:rPr>
          <w:szCs w:val="22"/>
        </w:rPr>
      </w:pPr>
    </w:p>
    <w:p w14:paraId="2647AD1D" w14:textId="5116767C" w:rsidR="00E82284" w:rsidRPr="00E1267B" w:rsidRDefault="00914279" w:rsidP="00B234C7">
      <w:pPr>
        <w:pStyle w:val="BodyTextIndent"/>
        <w:numPr>
          <w:ilvl w:val="0"/>
          <w:numId w:val="27"/>
        </w:numPr>
        <w:tabs>
          <w:tab w:val="clear" w:pos="1800"/>
        </w:tabs>
        <w:jc w:val="left"/>
        <w:rPr>
          <w:szCs w:val="22"/>
        </w:rPr>
      </w:pPr>
      <w:r w:rsidRPr="00E1267B">
        <w:rPr>
          <w:szCs w:val="22"/>
        </w:rPr>
        <w:t xml:space="preserve">Visible emissions from any </w:t>
      </w:r>
      <w:r w:rsidR="00B234C7" w:rsidRPr="00E1267B">
        <w:rPr>
          <w:szCs w:val="22"/>
        </w:rPr>
        <w:t>recovery furnace</w:t>
      </w:r>
      <w:r w:rsidRPr="00E1267B">
        <w:rPr>
          <w:szCs w:val="22"/>
        </w:rPr>
        <w:t xml:space="preserve"> shall not exceed 20 percent opacity on a six (6) minute block average basis for </w:t>
      </w:r>
      <w:r w:rsidR="00E1267B">
        <w:rPr>
          <w:szCs w:val="22"/>
        </w:rPr>
        <w:t>95</w:t>
      </w:r>
      <w:r w:rsidRPr="00E1267B">
        <w:rPr>
          <w:szCs w:val="22"/>
        </w:rPr>
        <w:t xml:space="preserve"> percent of all six (6) minute block averages on a quarterly basis. The</w:t>
      </w:r>
      <w:r w:rsidR="00E1267B">
        <w:rPr>
          <w:szCs w:val="22"/>
        </w:rPr>
        <w:t xml:space="preserve"> average of the</w:t>
      </w:r>
      <w:r w:rsidRPr="00E1267B">
        <w:rPr>
          <w:szCs w:val="22"/>
        </w:rPr>
        <w:t xml:space="preserve"> remaining </w:t>
      </w:r>
      <w:r w:rsidR="00E1267B">
        <w:rPr>
          <w:szCs w:val="22"/>
        </w:rPr>
        <w:t>5</w:t>
      </w:r>
      <w:r w:rsidRPr="00E1267B">
        <w:rPr>
          <w:szCs w:val="22"/>
        </w:rPr>
        <w:t xml:space="preserve"> percent of all six (6) minute block averages on a quarterly basis shall </w:t>
      </w:r>
      <w:r w:rsidR="00E1267B">
        <w:rPr>
          <w:szCs w:val="22"/>
        </w:rPr>
        <w:t>not exceed</w:t>
      </w:r>
      <w:r w:rsidRPr="00E1267B">
        <w:rPr>
          <w:szCs w:val="22"/>
        </w:rPr>
        <w:t xml:space="preserve"> </w:t>
      </w:r>
      <w:r w:rsidR="0033171C">
        <w:rPr>
          <w:szCs w:val="22"/>
        </w:rPr>
        <w:t>30</w:t>
      </w:r>
      <w:r w:rsidRPr="00E1267B">
        <w:rPr>
          <w:szCs w:val="22"/>
        </w:rPr>
        <w:t xml:space="preserve"> percent opacity. Periods of startup, shutdown, and malfunctions are included for the purpose of calculating block averages under this subsection. Periods when the unit is not operating are not included for the purpose of calculating block averages under this subsection.</w:t>
      </w:r>
    </w:p>
    <w:p w14:paraId="5DBF60CE" w14:textId="77777777" w:rsidR="008849D6" w:rsidRPr="00E1267B" w:rsidRDefault="008849D6" w:rsidP="008849D6">
      <w:pPr>
        <w:pStyle w:val="ListParagraph"/>
        <w:rPr>
          <w:szCs w:val="22"/>
        </w:rPr>
      </w:pPr>
    </w:p>
    <w:p w14:paraId="5B5818E1" w14:textId="7CD76F44" w:rsidR="008849D6" w:rsidRPr="00B234C7" w:rsidRDefault="008849D6" w:rsidP="008849D6">
      <w:pPr>
        <w:pStyle w:val="BodyTextIndent"/>
        <w:tabs>
          <w:tab w:val="clear" w:pos="1800"/>
        </w:tabs>
        <w:ind w:left="1440" w:firstLine="0"/>
        <w:jc w:val="left"/>
        <w:rPr>
          <w:szCs w:val="22"/>
        </w:rPr>
      </w:pPr>
      <w:r w:rsidRPr="00E1267B">
        <w:rPr>
          <w:szCs w:val="22"/>
        </w:rPr>
        <w:t xml:space="preserve">Note: A recovery furnace shall be considered to be operating whenever any fuel is being fired, regardless of whether </w:t>
      </w:r>
      <w:r w:rsidR="002C5AF1">
        <w:rPr>
          <w:szCs w:val="22"/>
        </w:rPr>
        <w:t>black liquor is being fired</w:t>
      </w:r>
      <w:r w:rsidRPr="00E1267B">
        <w:rPr>
          <w:szCs w:val="22"/>
        </w:rPr>
        <w:t xml:space="preserve"> or not.</w:t>
      </w:r>
      <w:r>
        <w:rPr>
          <w:szCs w:val="22"/>
        </w:rPr>
        <w:t xml:space="preserve"> </w:t>
      </w:r>
    </w:p>
    <w:p w14:paraId="1DD6C4D2" w14:textId="77777777" w:rsidR="00E82284" w:rsidRDefault="00E82284">
      <w:pPr>
        <w:rPr>
          <w:sz w:val="22"/>
          <w:szCs w:val="22"/>
        </w:rPr>
      </w:pPr>
    </w:p>
    <w:bookmarkEnd w:id="8"/>
    <w:p w14:paraId="2C8EDE83" w14:textId="03E0EAE6" w:rsidR="003E454C" w:rsidRDefault="003E454C" w:rsidP="00B234C7">
      <w:pPr>
        <w:pStyle w:val="Heading3"/>
      </w:pPr>
      <w:r>
        <w:t xml:space="preserve">Other Fuel Burning Equipment </w:t>
      </w:r>
    </w:p>
    <w:p w14:paraId="5F32F6A9" w14:textId="61660813" w:rsidR="003E454C" w:rsidRDefault="003E454C" w:rsidP="00834ED3">
      <w:pPr>
        <w:pStyle w:val="BodyTextIndent"/>
        <w:tabs>
          <w:tab w:val="clear" w:pos="1440"/>
        </w:tabs>
        <w:ind w:firstLine="0"/>
        <w:jc w:val="left"/>
        <w:rPr>
          <w:szCs w:val="22"/>
        </w:rPr>
      </w:pPr>
    </w:p>
    <w:p w14:paraId="2250B1BF" w14:textId="12D2A9D7" w:rsidR="003E454C" w:rsidRDefault="003E454C" w:rsidP="00834ED3">
      <w:pPr>
        <w:pStyle w:val="BodyTextIndent"/>
        <w:tabs>
          <w:tab w:val="clear" w:pos="1440"/>
        </w:tabs>
        <w:ind w:firstLine="0"/>
        <w:jc w:val="left"/>
        <w:rPr>
          <w:szCs w:val="22"/>
        </w:rPr>
      </w:pPr>
      <w:r>
        <w:rPr>
          <w:szCs w:val="22"/>
        </w:rPr>
        <w:t xml:space="preserve">Equipment that burns any fuel </w:t>
      </w:r>
      <w:r w:rsidR="00DA0419">
        <w:rPr>
          <w:szCs w:val="22"/>
        </w:rPr>
        <w:t>that</w:t>
      </w:r>
      <w:r>
        <w:rPr>
          <w:szCs w:val="22"/>
        </w:rPr>
        <w:t xml:space="preserve"> is not otherwise specifically listed in this section</w:t>
      </w:r>
      <w:r w:rsidR="00DA0419">
        <w:rPr>
          <w:szCs w:val="22"/>
        </w:rPr>
        <w:t xml:space="preserve"> and is not an asphalt plant</w:t>
      </w:r>
      <w:r>
        <w:rPr>
          <w:szCs w:val="22"/>
        </w:rPr>
        <w:t xml:space="preserve"> shall comply with either (a) or (b) below:</w:t>
      </w:r>
    </w:p>
    <w:p w14:paraId="0B268FC4" w14:textId="77777777" w:rsidR="003E454C" w:rsidRDefault="003E454C" w:rsidP="00834ED3">
      <w:pPr>
        <w:pStyle w:val="BodyTextIndent"/>
        <w:tabs>
          <w:tab w:val="clear" w:pos="1440"/>
        </w:tabs>
        <w:ind w:firstLine="0"/>
        <w:jc w:val="left"/>
        <w:rPr>
          <w:szCs w:val="22"/>
        </w:rPr>
      </w:pPr>
    </w:p>
    <w:p w14:paraId="411B14D3" w14:textId="00CABB9F" w:rsidR="0047719E" w:rsidRDefault="0047719E" w:rsidP="00B234C7">
      <w:pPr>
        <w:pStyle w:val="BodyTextIndent"/>
        <w:numPr>
          <w:ilvl w:val="0"/>
          <w:numId w:val="13"/>
        </w:numPr>
        <w:tabs>
          <w:tab w:val="clear" w:pos="1440"/>
        </w:tabs>
        <w:jc w:val="left"/>
        <w:rPr>
          <w:szCs w:val="22"/>
        </w:rPr>
      </w:pPr>
      <w:r>
        <w:rPr>
          <w:szCs w:val="22"/>
        </w:rPr>
        <w:t xml:space="preserve">Units Not Monitored by a COMS </w:t>
      </w:r>
    </w:p>
    <w:p w14:paraId="1E8523C6" w14:textId="77777777" w:rsidR="0047719E" w:rsidRDefault="0047719E" w:rsidP="0047719E">
      <w:pPr>
        <w:pStyle w:val="BodyTextIndent"/>
        <w:tabs>
          <w:tab w:val="clear" w:pos="1440"/>
        </w:tabs>
        <w:ind w:left="1440" w:firstLine="0"/>
        <w:jc w:val="left"/>
        <w:rPr>
          <w:szCs w:val="22"/>
        </w:rPr>
      </w:pPr>
    </w:p>
    <w:p w14:paraId="7FBB569E" w14:textId="3569DF45" w:rsidR="00E5303E" w:rsidRDefault="003E5CD0" w:rsidP="0047719E">
      <w:pPr>
        <w:pStyle w:val="BodyTextIndent"/>
        <w:tabs>
          <w:tab w:val="clear" w:pos="1440"/>
        </w:tabs>
        <w:ind w:left="1440" w:firstLine="0"/>
        <w:jc w:val="left"/>
        <w:rPr>
          <w:szCs w:val="22"/>
        </w:rPr>
      </w:pPr>
      <w:r w:rsidRPr="00BE136A">
        <w:rPr>
          <w:szCs w:val="22"/>
        </w:rPr>
        <w:t>Visible emissions</w:t>
      </w:r>
      <w:r w:rsidR="003E454C" w:rsidRPr="003E454C">
        <w:rPr>
          <w:szCs w:val="22"/>
        </w:rPr>
        <w:t xml:space="preserve"> </w:t>
      </w:r>
      <w:r w:rsidR="003E454C">
        <w:rPr>
          <w:szCs w:val="22"/>
        </w:rPr>
        <w:t xml:space="preserve">from any unit that </w:t>
      </w:r>
      <w:r w:rsidR="00E004A8">
        <w:rPr>
          <w:szCs w:val="22"/>
        </w:rPr>
        <w:t>is</w:t>
      </w:r>
      <w:r w:rsidR="003E454C">
        <w:rPr>
          <w:szCs w:val="22"/>
        </w:rPr>
        <w:t xml:space="preserve"> not </w:t>
      </w:r>
      <w:r w:rsidR="00E004A8">
        <w:rPr>
          <w:szCs w:val="22"/>
        </w:rPr>
        <w:t>monitored by</w:t>
      </w:r>
      <w:r w:rsidR="003E454C">
        <w:rPr>
          <w:szCs w:val="22"/>
        </w:rPr>
        <w:t xml:space="preserve"> a COMS </w:t>
      </w:r>
      <w:r w:rsidRPr="00BE136A">
        <w:rPr>
          <w:szCs w:val="22"/>
        </w:rPr>
        <w:t>shall not exceed 30 percent</w:t>
      </w:r>
      <w:r w:rsidR="00A90ACB">
        <w:rPr>
          <w:szCs w:val="22"/>
        </w:rPr>
        <w:t xml:space="preserve"> opacity</w:t>
      </w:r>
      <w:r w:rsidRPr="00BE136A">
        <w:rPr>
          <w:szCs w:val="22"/>
        </w:rPr>
        <w:t xml:space="preserve"> on a six (6) minute block average basis, except for periods of startup, </w:t>
      </w:r>
      <w:r w:rsidR="00AD23A3" w:rsidRPr="00BE136A">
        <w:rPr>
          <w:szCs w:val="22"/>
        </w:rPr>
        <w:t>shutdown,</w:t>
      </w:r>
      <w:r w:rsidR="007E2CE2">
        <w:rPr>
          <w:szCs w:val="22"/>
        </w:rPr>
        <w:t xml:space="preserve"> or</w:t>
      </w:r>
      <w:r w:rsidR="00AD23A3" w:rsidRPr="00BE136A">
        <w:rPr>
          <w:szCs w:val="22"/>
        </w:rPr>
        <w:t xml:space="preserve"> malfunction</w:t>
      </w:r>
      <w:r w:rsidR="00E5303E">
        <w:rPr>
          <w:szCs w:val="22"/>
        </w:rPr>
        <w:t xml:space="preserve"> </w:t>
      </w:r>
      <w:r w:rsidR="003E454C">
        <w:rPr>
          <w:szCs w:val="22"/>
        </w:rPr>
        <w:t xml:space="preserve">during which time </w:t>
      </w:r>
      <w:r w:rsidR="00E5303E">
        <w:rPr>
          <w:szCs w:val="22"/>
        </w:rPr>
        <w:t xml:space="preserve">the owner or operator </w:t>
      </w:r>
      <w:r w:rsidR="007E2CE2">
        <w:rPr>
          <w:szCs w:val="22"/>
        </w:rPr>
        <w:t>must meet the normal operating visible emissions standard or</w:t>
      </w:r>
      <w:r w:rsidR="00E5303E">
        <w:rPr>
          <w:szCs w:val="22"/>
        </w:rPr>
        <w:t xml:space="preserve"> the following </w:t>
      </w:r>
      <w:r w:rsidR="00DA0419">
        <w:rPr>
          <w:szCs w:val="22"/>
        </w:rPr>
        <w:t>alternative</w:t>
      </w:r>
      <w:r w:rsidR="00E5303E">
        <w:rPr>
          <w:szCs w:val="22"/>
        </w:rPr>
        <w:t xml:space="preserve"> visible emissions standards.</w:t>
      </w:r>
    </w:p>
    <w:p w14:paraId="2A5A9479" w14:textId="77777777" w:rsidR="00E5303E" w:rsidRDefault="00E5303E" w:rsidP="00834ED3">
      <w:pPr>
        <w:pStyle w:val="BodyTextIndent"/>
        <w:tabs>
          <w:tab w:val="clear" w:pos="1440"/>
        </w:tabs>
        <w:ind w:left="1440" w:firstLine="0"/>
        <w:jc w:val="left"/>
        <w:rPr>
          <w:szCs w:val="22"/>
        </w:rPr>
      </w:pPr>
    </w:p>
    <w:p w14:paraId="7295A3D6" w14:textId="6A6F58F3" w:rsidR="00E5303E" w:rsidRDefault="00E5303E" w:rsidP="00B234C7">
      <w:pPr>
        <w:pStyle w:val="BodyTextIndent"/>
        <w:numPr>
          <w:ilvl w:val="0"/>
          <w:numId w:val="19"/>
        </w:numPr>
        <w:tabs>
          <w:tab w:val="clear" w:pos="1440"/>
        </w:tabs>
        <w:jc w:val="left"/>
        <w:rPr>
          <w:szCs w:val="22"/>
        </w:rPr>
      </w:pPr>
      <w:r>
        <w:rPr>
          <w:szCs w:val="22"/>
        </w:rPr>
        <w:t>During periods of startup, shutdown, or malfunction, v</w:t>
      </w:r>
      <w:r w:rsidR="003E454C">
        <w:rPr>
          <w:szCs w:val="22"/>
        </w:rPr>
        <w:t xml:space="preserve">isible emissions shall not exceed 40 percent </w:t>
      </w:r>
      <w:r w:rsidR="00A90ACB">
        <w:rPr>
          <w:szCs w:val="22"/>
        </w:rPr>
        <w:t xml:space="preserve">opacity </w:t>
      </w:r>
      <w:r w:rsidR="003E454C">
        <w:rPr>
          <w:szCs w:val="22"/>
        </w:rPr>
        <w:t xml:space="preserve">on a six (6) minute block average basis. </w:t>
      </w:r>
      <w:r>
        <w:rPr>
          <w:szCs w:val="22"/>
        </w:rPr>
        <w:t xml:space="preserve">This </w:t>
      </w:r>
      <w:r w:rsidR="00DA0419">
        <w:rPr>
          <w:szCs w:val="22"/>
        </w:rPr>
        <w:t>alternative</w:t>
      </w:r>
      <w:r>
        <w:rPr>
          <w:szCs w:val="22"/>
        </w:rPr>
        <w:t xml:space="preserve"> visible emissions standard shall not be utilized for more than two hours </w:t>
      </w:r>
      <w:r w:rsidR="00A911E9">
        <w:rPr>
          <w:szCs w:val="22"/>
        </w:rPr>
        <w:t>(2</w:t>
      </w:r>
      <w:r w:rsidR="00A911E9" w:rsidRPr="00A71364">
        <w:rPr>
          <w:szCs w:val="22"/>
        </w:rPr>
        <w:t>0 consecutive six-minute block averages</w:t>
      </w:r>
      <w:r w:rsidR="00AB5267">
        <w:rPr>
          <w:szCs w:val="22"/>
        </w:rPr>
        <w:t>)</w:t>
      </w:r>
      <w:r>
        <w:rPr>
          <w:szCs w:val="22"/>
        </w:rPr>
        <w:t xml:space="preserve"> per event. The owner or operator shall keep records</w:t>
      </w:r>
      <w:r w:rsidR="0047719E">
        <w:rPr>
          <w:szCs w:val="22"/>
        </w:rPr>
        <w:t xml:space="preserve"> as specified</w:t>
      </w:r>
      <w:r>
        <w:rPr>
          <w:szCs w:val="22"/>
        </w:rPr>
        <w:t xml:space="preserve"> in Section 6 of this </w:t>
      </w:r>
      <w:r w:rsidR="00FA2C7F">
        <w:rPr>
          <w:szCs w:val="22"/>
        </w:rPr>
        <w:t>C</w:t>
      </w:r>
      <w:r>
        <w:rPr>
          <w:szCs w:val="22"/>
        </w:rPr>
        <w:t>hapter.</w:t>
      </w:r>
    </w:p>
    <w:p w14:paraId="5E61C803" w14:textId="5D93F0CB" w:rsidR="003E5CD0" w:rsidRDefault="00E5303E" w:rsidP="00B234C7">
      <w:pPr>
        <w:pStyle w:val="BodyTextIndent"/>
        <w:numPr>
          <w:ilvl w:val="0"/>
          <w:numId w:val="19"/>
        </w:numPr>
        <w:tabs>
          <w:tab w:val="clear" w:pos="1440"/>
        </w:tabs>
        <w:jc w:val="left"/>
        <w:rPr>
          <w:szCs w:val="22"/>
        </w:rPr>
      </w:pPr>
      <w:r w:rsidRPr="003B343B">
        <w:rPr>
          <w:szCs w:val="22"/>
        </w:rPr>
        <w:t>During periods of equipment maintenance as addressed in Secti</w:t>
      </w:r>
      <w:r w:rsidRPr="005C42EB">
        <w:rPr>
          <w:szCs w:val="22"/>
        </w:rPr>
        <w:t xml:space="preserve">on 5 of this </w:t>
      </w:r>
      <w:r w:rsidR="00FA2C7F">
        <w:rPr>
          <w:szCs w:val="22"/>
        </w:rPr>
        <w:t>C</w:t>
      </w:r>
      <w:r w:rsidRPr="00236C4D">
        <w:rPr>
          <w:szCs w:val="22"/>
        </w:rPr>
        <w:t xml:space="preserve">hapter, the unit owner or operator </w:t>
      </w:r>
      <w:r w:rsidR="007E2CE2">
        <w:rPr>
          <w:szCs w:val="22"/>
        </w:rPr>
        <w:t>must meet the normal operating visible emissions standard or</w:t>
      </w:r>
      <w:r w:rsidRPr="00236C4D">
        <w:rPr>
          <w:szCs w:val="22"/>
        </w:rPr>
        <w:t xml:space="preserve"> the </w:t>
      </w:r>
      <w:r w:rsidR="00DA0419">
        <w:rPr>
          <w:szCs w:val="22"/>
        </w:rPr>
        <w:t>alternative</w:t>
      </w:r>
      <w:r w:rsidRPr="00236C4D">
        <w:rPr>
          <w:szCs w:val="22"/>
        </w:rPr>
        <w:t xml:space="preserve"> visible emission</w:t>
      </w:r>
      <w:r w:rsidR="000039FB">
        <w:rPr>
          <w:szCs w:val="22"/>
        </w:rPr>
        <w:t>s</w:t>
      </w:r>
      <w:r w:rsidRPr="00236C4D">
        <w:rPr>
          <w:szCs w:val="22"/>
        </w:rPr>
        <w:t xml:space="preserve"> standards and work practice standards specified in that section. The owner or operator shall keep records</w:t>
      </w:r>
      <w:r w:rsidR="0047719E">
        <w:rPr>
          <w:szCs w:val="22"/>
        </w:rPr>
        <w:t xml:space="preserve"> as specified</w:t>
      </w:r>
      <w:r w:rsidRPr="00236C4D">
        <w:rPr>
          <w:szCs w:val="22"/>
        </w:rPr>
        <w:t xml:space="preserve"> in Section 6 of this </w:t>
      </w:r>
      <w:r w:rsidR="00FA2C7F">
        <w:rPr>
          <w:szCs w:val="22"/>
        </w:rPr>
        <w:t>C</w:t>
      </w:r>
      <w:r w:rsidRPr="00236C4D">
        <w:rPr>
          <w:szCs w:val="22"/>
        </w:rPr>
        <w:t>hapter</w:t>
      </w:r>
      <w:r w:rsidR="003E454C">
        <w:rPr>
          <w:szCs w:val="22"/>
        </w:rPr>
        <w:t>.</w:t>
      </w:r>
      <w:r w:rsidR="003E5CD0" w:rsidRPr="00BE136A">
        <w:rPr>
          <w:szCs w:val="22"/>
        </w:rPr>
        <w:t xml:space="preserve"> </w:t>
      </w:r>
    </w:p>
    <w:p w14:paraId="23B9E924" w14:textId="77777777" w:rsidR="003E454C" w:rsidRDefault="003E454C" w:rsidP="00834ED3">
      <w:pPr>
        <w:pStyle w:val="BodyTextIndent"/>
        <w:tabs>
          <w:tab w:val="clear" w:pos="1440"/>
        </w:tabs>
        <w:ind w:left="1440" w:firstLine="0"/>
        <w:jc w:val="left"/>
        <w:rPr>
          <w:szCs w:val="22"/>
        </w:rPr>
      </w:pPr>
    </w:p>
    <w:p w14:paraId="346360A3" w14:textId="39A73C00" w:rsidR="0047719E" w:rsidRDefault="0047719E" w:rsidP="00B234C7">
      <w:pPr>
        <w:pStyle w:val="BodyTextIndent"/>
        <w:numPr>
          <w:ilvl w:val="0"/>
          <w:numId w:val="13"/>
        </w:numPr>
        <w:tabs>
          <w:tab w:val="clear" w:pos="1440"/>
        </w:tabs>
        <w:jc w:val="left"/>
        <w:rPr>
          <w:szCs w:val="22"/>
        </w:rPr>
      </w:pPr>
      <w:r>
        <w:rPr>
          <w:szCs w:val="22"/>
        </w:rPr>
        <w:t xml:space="preserve">Units Monitored by a COMS </w:t>
      </w:r>
    </w:p>
    <w:p w14:paraId="60099960" w14:textId="77777777" w:rsidR="0047719E" w:rsidRDefault="0047719E" w:rsidP="0047719E">
      <w:pPr>
        <w:pStyle w:val="BodyTextIndent"/>
        <w:tabs>
          <w:tab w:val="clear" w:pos="1440"/>
        </w:tabs>
        <w:ind w:left="1440" w:firstLine="0"/>
        <w:jc w:val="left"/>
        <w:rPr>
          <w:szCs w:val="22"/>
        </w:rPr>
      </w:pPr>
    </w:p>
    <w:p w14:paraId="45F5773D" w14:textId="42199CAF" w:rsidR="003E454C" w:rsidRPr="00BE136A" w:rsidRDefault="003E454C" w:rsidP="0047719E">
      <w:pPr>
        <w:pStyle w:val="BodyTextIndent"/>
        <w:tabs>
          <w:tab w:val="clear" w:pos="1440"/>
        </w:tabs>
        <w:ind w:left="1440" w:firstLine="0"/>
        <w:jc w:val="left"/>
        <w:rPr>
          <w:szCs w:val="22"/>
        </w:rPr>
      </w:pPr>
      <w:r w:rsidRPr="00BE136A">
        <w:rPr>
          <w:szCs w:val="22"/>
        </w:rPr>
        <w:t>Visible emissions</w:t>
      </w:r>
      <w:r>
        <w:rPr>
          <w:szCs w:val="22"/>
        </w:rPr>
        <w:t xml:space="preserve"> from any unit that </w:t>
      </w:r>
      <w:r w:rsidR="00E004A8">
        <w:rPr>
          <w:szCs w:val="22"/>
        </w:rPr>
        <w:t>is monitored by</w:t>
      </w:r>
      <w:r>
        <w:rPr>
          <w:szCs w:val="22"/>
        </w:rPr>
        <w:t xml:space="preserve"> a COMS </w:t>
      </w:r>
      <w:r w:rsidRPr="00BE136A">
        <w:rPr>
          <w:szCs w:val="22"/>
        </w:rPr>
        <w:t>shall not exceed 20 percent</w:t>
      </w:r>
      <w:r w:rsidR="00A90ACB">
        <w:rPr>
          <w:szCs w:val="22"/>
        </w:rPr>
        <w:t xml:space="preserve"> opacity</w:t>
      </w:r>
      <w:r w:rsidRPr="00BE136A">
        <w:rPr>
          <w:szCs w:val="22"/>
        </w:rPr>
        <w:t xml:space="preserve"> on a six (6) minute block average basis for 95 percent of all six (6) minute block averages on a quarterly basis. The remaining 5</w:t>
      </w:r>
      <w:r w:rsidR="007E2CE2">
        <w:rPr>
          <w:szCs w:val="22"/>
        </w:rPr>
        <w:t> </w:t>
      </w:r>
      <w:r w:rsidRPr="00BE136A">
        <w:rPr>
          <w:szCs w:val="22"/>
        </w:rPr>
        <w:t>percent of all six (6) minute block averages on a quarterly basis shall be no greater than 45 percent opacity. Periods of startup, shutdown</w:t>
      </w:r>
      <w:r w:rsidR="003F15AA">
        <w:rPr>
          <w:szCs w:val="22"/>
        </w:rPr>
        <w:t>,</w:t>
      </w:r>
      <w:r w:rsidRPr="00BE136A">
        <w:rPr>
          <w:szCs w:val="22"/>
        </w:rPr>
        <w:t xml:space="preserve"> and malfunctions are included for the purpose of calculating block averages under this subsection. Periods when the unit is not operating</w:t>
      </w:r>
      <w:r>
        <w:rPr>
          <w:szCs w:val="22"/>
        </w:rPr>
        <w:t xml:space="preserve"> and periods when alternative work practice standards are used pursuant to Section </w:t>
      </w:r>
      <w:r w:rsidR="00D00106">
        <w:rPr>
          <w:szCs w:val="22"/>
        </w:rPr>
        <w:t>5</w:t>
      </w:r>
      <w:r>
        <w:rPr>
          <w:szCs w:val="22"/>
        </w:rPr>
        <w:t xml:space="preserve"> of this </w:t>
      </w:r>
      <w:r w:rsidR="00FA2C7F">
        <w:rPr>
          <w:szCs w:val="22"/>
        </w:rPr>
        <w:t>C</w:t>
      </w:r>
      <w:r>
        <w:rPr>
          <w:szCs w:val="22"/>
        </w:rPr>
        <w:t>hapter</w:t>
      </w:r>
      <w:r w:rsidRPr="00BE136A">
        <w:rPr>
          <w:szCs w:val="22"/>
        </w:rPr>
        <w:t xml:space="preserve"> are not included for the purpose of calculating block averages under this subsection.</w:t>
      </w:r>
    </w:p>
    <w:p w14:paraId="5E61C804" w14:textId="77777777" w:rsidR="003E5CD0" w:rsidRPr="00BE136A" w:rsidRDefault="003E5CD0" w:rsidP="00834ED3">
      <w:pPr>
        <w:pStyle w:val="RulesBasisStatement"/>
        <w:tabs>
          <w:tab w:val="left" w:pos="360"/>
          <w:tab w:val="left" w:pos="720"/>
          <w:tab w:val="left" w:pos="1080"/>
          <w:tab w:val="left" w:pos="1440"/>
          <w:tab w:val="left" w:pos="1800"/>
          <w:tab w:val="left" w:pos="2160"/>
          <w:tab w:val="left" w:pos="2520"/>
          <w:tab w:val="left" w:pos="2880"/>
          <w:tab w:val="left" w:pos="3240"/>
        </w:tabs>
        <w:jc w:val="left"/>
        <w:rPr>
          <w:szCs w:val="22"/>
        </w:rPr>
      </w:pPr>
    </w:p>
    <w:p w14:paraId="5E61C805" w14:textId="6B9CAABB" w:rsidR="003E5CD0" w:rsidRPr="00BE136A" w:rsidRDefault="003E5CD0" w:rsidP="00834ED3">
      <w:pPr>
        <w:pStyle w:val="RulesParagraph"/>
        <w:ind w:left="720" w:firstLine="0"/>
        <w:jc w:val="left"/>
        <w:rPr>
          <w:szCs w:val="22"/>
        </w:rPr>
      </w:pPr>
      <w:r w:rsidRPr="00BE136A">
        <w:rPr>
          <w:szCs w:val="22"/>
        </w:rPr>
        <w:t xml:space="preserve">For any fuel burning equipment monitored by COMS, the COMS shall record opacity on a six (6) minute block average basis. </w:t>
      </w:r>
    </w:p>
    <w:p w14:paraId="5E61C806" w14:textId="77777777" w:rsidR="003E5CD0" w:rsidRPr="00BE136A" w:rsidRDefault="003E5CD0" w:rsidP="00E5303E">
      <w:pPr>
        <w:rPr>
          <w:b/>
          <w:sz w:val="22"/>
          <w:szCs w:val="22"/>
        </w:rPr>
      </w:pPr>
    </w:p>
    <w:p w14:paraId="5E61C807" w14:textId="0B63EF6E" w:rsidR="003E5CD0" w:rsidRPr="00BE136A" w:rsidRDefault="003E5CD0" w:rsidP="00B234C7">
      <w:pPr>
        <w:pStyle w:val="Heading2"/>
        <w:jc w:val="left"/>
        <w:rPr>
          <w:sz w:val="22"/>
          <w:szCs w:val="22"/>
        </w:rPr>
      </w:pPr>
      <w:r w:rsidRPr="00BE136A">
        <w:rPr>
          <w:sz w:val="22"/>
          <w:szCs w:val="22"/>
        </w:rPr>
        <w:t xml:space="preserve">General </w:t>
      </w:r>
      <w:r w:rsidR="002C5AF1">
        <w:rPr>
          <w:sz w:val="22"/>
          <w:szCs w:val="22"/>
        </w:rPr>
        <w:t>p</w:t>
      </w:r>
      <w:r w:rsidRPr="00BE136A">
        <w:rPr>
          <w:sz w:val="22"/>
          <w:szCs w:val="22"/>
        </w:rPr>
        <w:t xml:space="preserve">rocess </w:t>
      </w:r>
      <w:r w:rsidR="002C5AF1">
        <w:rPr>
          <w:sz w:val="22"/>
          <w:szCs w:val="22"/>
        </w:rPr>
        <w:t>s</w:t>
      </w:r>
      <w:r w:rsidRPr="00BE136A">
        <w:rPr>
          <w:sz w:val="22"/>
          <w:szCs w:val="22"/>
        </w:rPr>
        <w:t>ources</w:t>
      </w:r>
    </w:p>
    <w:p w14:paraId="5E61C808" w14:textId="77777777" w:rsidR="003E5CD0" w:rsidRPr="00BE136A" w:rsidRDefault="003E5CD0">
      <w:pPr>
        <w:tabs>
          <w:tab w:val="left" w:pos="360"/>
          <w:tab w:val="left" w:pos="720"/>
          <w:tab w:val="left" w:pos="1080"/>
          <w:tab w:val="left" w:pos="1440"/>
          <w:tab w:val="left" w:pos="1800"/>
          <w:tab w:val="left" w:pos="2160"/>
          <w:tab w:val="left" w:pos="2520"/>
          <w:tab w:val="left" w:pos="2880"/>
          <w:tab w:val="left" w:pos="3240"/>
        </w:tabs>
        <w:ind w:left="1080" w:hanging="1080"/>
        <w:rPr>
          <w:sz w:val="22"/>
          <w:szCs w:val="22"/>
        </w:rPr>
      </w:pPr>
    </w:p>
    <w:p w14:paraId="5E61C809" w14:textId="5F23616C" w:rsidR="003E5CD0" w:rsidRPr="00BE136A" w:rsidRDefault="003E5CD0" w:rsidP="00B234C7">
      <w:pPr>
        <w:pStyle w:val="BodyTextIndent"/>
        <w:numPr>
          <w:ilvl w:val="0"/>
          <w:numId w:val="2"/>
        </w:numPr>
        <w:tabs>
          <w:tab w:val="clear" w:pos="1440"/>
        </w:tabs>
        <w:jc w:val="left"/>
        <w:rPr>
          <w:szCs w:val="22"/>
        </w:rPr>
      </w:pPr>
      <w:r w:rsidRPr="00BE136A">
        <w:rPr>
          <w:szCs w:val="22"/>
        </w:rPr>
        <w:t xml:space="preserve">Visible emissions from any asphalt plant baghouse shall not exceed 20 percent </w:t>
      </w:r>
      <w:r w:rsidR="00A90ACB">
        <w:rPr>
          <w:szCs w:val="22"/>
        </w:rPr>
        <w:t xml:space="preserve">opacity </w:t>
      </w:r>
      <w:r w:rsidRPr="00BE136A">
        <w:rPr>
          <w:szCs w:val="22"/>
        </w:rPr>
        <w:t>on a six (6) minute block average basis</w:t>
      </w:r>
      <w:r w:rsidR="00834D29">
        <w:rPr>
          <w:szCs w:val="22"/>
        </w:rPr>
        <w:t>.</w:t>
      </w:r>
      <w:r w:rsidR="00834D29" w:rsidRPr="00BE136A" w:rsidDel="00834D29">
        <w:rPr>
          <w:szCs w:val="22"/>
        </w:rPr>
        <w:t xml:space="preserve"> </w:t>
      </w:r>
    </w:p>
    <w:p w14:paraId="5E61C80A" w14:textId="77777777" w:rsidR="003E5CD0" w:rsidRPr="00BE136A" w:rsidRDefault="003E5CD0">
      <w:pPr>
        <w:pStyle w:val="BodyTextIndent"/>
        <w:tabs>
          <w:tab w:val="clear" w:pos="1440"/>
        </w:tabs>
        <w:ind w:firstLine="0"/>
        <w:jc w:val="left"/>
        <w:rPr>
          <w:szCs w:val="22"/>
        </w:rPr>
      </w:pPr>
    </w:p>
    <w:p w14:paraId="5E61C80B" w14:textId="6B5D4ACB" w:rsidR="003E5CD0" w:rsidRPr="00BE136A" w:rsidRDefault="003E5CD0" w:rsidP="00B234C7">
      <w:pPr>
        <w:pStyle w:val="BodyTextIndent"/>
        <w:numPr>
          <w:ilvl w:val="0"/>
          <w:numId w:val="2"/>
        </w:numPr>
        <w:tabs>
          <w:tab w:val="clear" w:pos="1440"/>
        </w:tabs>
        <w:jc w:val="left"/>
        <w:rPr>
          <w:szCs w:val="22"/>
        </w:rPr>
      </w:pPr>
      <w:r w:rsidRPr="00BE136A">
        <w:rPr>
          <w:szCs w:val="22"/>
        </w:rPr>
        <w:t>Visible emissions from rock crushers shall not exceed 10 percent</w:t>
      </w:r>
      <w:r w:rsidR="00A90ACB">
        <w:rPr>
          <w:szCs w:val="22"/>
        </w:rPr>
        <w:t xml:space="preserve"> opacity</w:t>
      </w:r>
      <w:r w:rsidRPr="00BE136A">
        <w:rPr>
          <w:szCs w:val="22"/>
        </w:rPr>
        <w:t xml:space="preserve"> on a six (6) minute block average basis.</w:t>
      </w:r>
    </w:p>
    <w:p w14:paraId="5E61C80C" w14:textId="77777777" w:rsidR="003E5CD0" w:rsidRPr="00BE136A" w:rsidRDefault="003E5CD0">
      <w:pPr>
        <w:pStyle w:val="ListParagraph"/>
        <w:rPr>
          <w:sz w:val="22"/>
          <w:szCs w:val="22"/>
        </w:rPr>
      </w:pPr>
    </w:p>
    <w:p w14:paraId="5E61C80D" w14:textId="43320EB1" w:rsidR="003E5CD0" w:rsidRPr="00BE136A" w:rsidRDefault="003E5CD0" w:rsidP="00B234C7">
      <w:pPr>
        <w:pStyle w:val="BodyTextIndent"/>
        <w:numPr>
          <w:ilvl w:val="0"/>
          <w:numId w:val="2"/>
        </w:numPr>
        <w:tabs>
          <w:tab w:val="clear" w:pos="1440"/>
        </w:tabs>
        <w:jc w:val="left"/>
        <w:rPr>
          <w:szCs w:val="22"/>
        </w:rPr>
      </w:pPr>
      <w:r w:rsidRPr="00BE136A">
        <w:rPr>
          <w:szCs w:val="22"/>
        </w:rPr>
        <w:t>Visible emissions from baghouses, excluding asphalt plant baghouses, shall not exceed 10</w:t>
      </w:r>
      <w:r w:rsidR="007E2CE2">
        <w:rPr>
          <w:szCs w:val="22"/>
        </w:rPr>
        <w:t> </w:t>
      </w:r>
      <w:r w:rsidRPr="00BE136A">
        <w:rPr>
          <w:szCs w:val="22"/>
        </w:rPr>
        <w:t>percent</w:t>
      </w:r>
      <w:r w:rsidR="00A90ACB">
        <w:rPr>
          <w:szCs w:val="22"/>
        </w:rPr>
        <w:t xml:space="preserve"> opacity</w:t>
      </w:r>
      <w:r w:rsidRPr="00BE136A">
        <w:rPr>
          <w:szCs w:val="22"/>
        </w:rPr>
        <w:t xml:space="preserve"> on a six (6) minute block average basis. </w:t>
      </w:r>
    </w:p>
    <w:p w14:paraId="5E61C80E" w14:textId="77777777" w:rsidR="003E5CD0" w:rsidRPr="00BE136A" w:rsidRDefault="003E5CD0">
      <w:pPr>
        <w:pStyle w:val="ListParagraph"/>
        <w:rPr>
          <w:sz w:val="22"/>
          <w:szCs w:val="22"/>
        </w:rPr>
      </w:pPr>
    </w:p>
    <w:p w14:paraId="5E61C80F" w14:textId="726A7337" w:rsidR="003E5CD0" w:rsidRPr="00BE136A" w:rsidRDefault="003E5CD0" w:rsidP="00B234C7">
      <w:pPr>
        <w:pStyle w:val="BodyTextIndent"/>
        <w:numPr>
          <w:ilvl w:val="0"/>
          <w:numId w:val="2"/>
        </w:numPr>
        <w:tabs>
          <w:tab w:val="clear" w:pos="1440"/>
        </w:tabs>
        <w:jc w:val="left"/>
        <w:rPr>
          <w:szCs w:val="22"/>
        </w:rPr>
      </w:pPr>
      <w:r w:rsidRPr="00BE136A">
        <w:rPr>
          <w:szCs w:val="22"/>
        </w:rPr>
        <w:lastRenderedPageBreak/>
        <w:t>Visible emissions from any general process source not specifically listed in this section shall not exceed 20 percent</w:t>
      </w:r>
      <w:r w:rsidR="00A90ACB">
        <w:rPr>
          <w:szCs w:val="22"/>
        </w:rPr>
        <w:t xml:space="preserve"> opacity</w:t>
      </w:r>
      <w:r w:rsidRPr="00BE136A">
        <w:rPr>
          <w:szCs w:val="22"/>
        </w:rPr>
        <w:t xml:space="preserve"> on a six (6) minute block average basis.</w:t>
      </w:r>
    </w:p>
    <w:p w14:paraId="5E61C810" w14:textId="77777777" w:rsidR="003E5CD0" w:rsidRPr="00BE136A" w:rsidRDefault="003E5CD0">
      <w:pPr>
        <w:pStyle w:val="ListParagraph"/>
        <w:rPr>
          <w:sz w:val="22"/>
          <w:szCs w:val="22"/>
        </w:rPr>
      </w:pPr>
    </w:p>
    <w:p w14:paraId="5E61C811" w14:textId="13E51087" w:rsidR="003E5CD0" w:rsidRPr="00BE136A" w:rsidRDefault="003E5CD0" w:rsidP="00B234C7">
      <w:pPr>
        <w:pStyle w:val="BodyTextIndent"/>
        <w:numPr>
          <w:ilvl w:val="0"/>
          <w:numId w:val="2"/>
        </w:numPr>
        <w:tabs>
          <w:tab w:val="clear" w:pos="1440"/>
        </w:tabs>
        <w:jc w:val="left"/>
        <w:rPr>
          <w:szCs w:val="22"/>
        </w:rPr>
      </w:pPr>
      <w:r w:rsidRPr="00BE136A">
        <w:rPr>
          <w:szCs w:val="22"/>
        </w:rPr>
        <w:t xml:space="preserve">For any general process source monitored by </w:t>
      </w:r>
      <w:r w:rsidR="00337D0F">
        <w:rPr>
          <w:szCs w:val="22"/>
        </w:rPr>
        <w:t xml:space="preserve">a </w:t>
      </w:r>
      <w:r w:rsidRPr="00BE136A">
        <w:rPr>
          <w:szCs w:val="22"/>
        </w:rPr>
        <w:t>COMS, the COMS shall record opacity on a six</w:t>
      </w:r>
      <w:r w:rsidR="00355D10" w:rsidRPr="00BE136A">
        <w:rPr>
          <w:szCs w:val="22"/>
        </w:rPr>
        <w:t> </w:t>
      </w:r>
      <w:r w:rsidRPr="00BE136A">
        <w:rPr>
          <w:szCs w:val="22"/>
        </w:rPr>
        <w:t>(6) minute block average basis.</w:t>
      </w:r>
    </w:p>
    <w:p w14:paraId="5E61C812" w14:textId="77777777" w:rsidR="003E5CD0" w:rsidRPr="00BE136A" w:rsidRDefault="003E5C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1080" w:hanging="1080"/>
        <w:rPr>
          <w:sz w:val="22"/>
          <w:szCs w:val="22"/>
        </w:rPr>
      </w:pPr>
      <w:bookmarkStart w:id="9" w:name="_Hlk121143376"/>
    </w:p>
    <w:p w14:paraId="5E61C813" w14:textId="04B5EA43" w:rsidR="003E5CD0" w:rsidRPr="00BE136A" w:rsidRDefault="003E5CD0" w:rsidP="00B234C7">
      <w:pPr>
        <w:pStyle w:val="Heading2"/>
        <w:jc w:val="left"/>
        <w:rPr>
          <w:sz w:val="22"/>
          <w:szCs w:val="22"/>
        </w:rPr>
      </w:pPr>
      <w:r w:rsidRPr="00BE136A">
        <w:rPr>
          <w:sz w:val="22"/>
          <w:szCs w:val="22"/>
        </w:rPr>
        <w:t xml:space="preserve">Fugitive </w:t>
      </w:r>
      <w:r w:rsidR="002C5AF1">
        <w:rPr>
          <w:sz w:val="22"/>
          <w:szCs w:val="22"/>
        </w:rPr>
        <w:t>e</w:t>
      </w:r>
      <w:r w:rsidRPr="00BE136A">
        <w:rPr>
          <w:sz w:val="22"/>
          <w:szCs w:val="22"/>
        </w:rPr>
        <w:t xml:space="preserve">mission </w:t>
      </w:r>
      <w:r w:rsidR="002C5AF1">
        <w:rPr>
          <w:sz w:val="22"/>
          <w:szCs w:val="22"/>
        </w:rPr>
        <w:t>s</w:t>
      </w:r>
      <w:r w:rsidRPr="00BE136A">
        <w:rPr>
          <w:sz w:val="22"/>
          <w:szCs w:val="22"/>
        </w:rPr>
        <w:t>ources</w:t>
      </w:r>
    </w:p>
    <w:p w14:paraId="526EC51B" w14:textId="7E8C74EC" w:rsidR="001A2350" w:rsidRDefault="001A2350">
      <w:pPr>
        <w:pStyle w:val="BodyTextIndent"/>
        <w:tabs>
          <w:tab w:val="clear" w:pos="360"/>
          <w:tab w:val="clear" w:pos="1080"/>
          <w:tab w:val="clear" w:pos="1440"/>
          <w:tab w:val="left" w:pos="1530"/>
          <w:tab w:val="left" w:pos="3600"/>
          <w:tab w:val="left" w:pos="3960"/>
          <w:tab w:val="left" w:pos="4320"/>
        </w:tabs>
        <w:spacing w:line="240" w:lineRule="atLeast"/>
        <w:ind w:left="720" w:hanging="360"/>
        <w:jc w:val="left"/>
        <w:rPr>
          <w:szCs w:val="22"/>
        </w:rPr>
      </w:pPr>
      <w:bookmarkStart w:id="10" w:name="_Hlk121143320"/>
    </w:p>
    <w:bookmarkEnd w:id="9"/>
    <w:p w14:paraId="5F97CD7E" w14:textId="14EAEA32" w:rsidR="003F15AA" w:rsidRDefault="003F15AA" w:rsidP="00B234C7">
      <w:pPr>
        <w:pStyle w:val="BodyTextIndent"/>
        <w:numPr>
          <w:ilvl w:val="0"/>
          <w:numId w:val="16"/>
        </w:numPr>
        <w:tabs>
          <w:tab w:val="clear" w:pos="360"/>
          <w:tab w:val="clear" w:pos="1080"/>
          <w:tab w:val="clear" w:pos="1440"/>
          <w:tab w:val="left" w:pos="1530"/>
          <w:tab w:val="left" w:pos="3600"/>
          <w:tab w:val="left" w:pos="3960"/>
          <w:tab w:val="left" w:pos="4320"/>
        </w:tabs>
        <w:spacing w:line="240" w:lineRule="atLeast"/>
        <w:rPr>
          <w:szCs w:val="22"/>
        </w:rPr>
      </w:pPr>
      <w:r>
        <w:rPr>
          <w:szCs w:val="22"/>
        </w:rPr>
        <w:t xml:space="preserve">No owner or operator of a facility with an active air emission license issued pursuant to </w:t>
      </w:r>
      <w:r>
        <w:rPr>
          <w:i/>
          <w:iCs/>
          <w:szCs w:val="22"/>
        </w:rPr>
        <w:t>Major and Minor Source Air Emission License Regulation</w:t>
      </w:r>
      <w:r>
        <w:rPr>
          <w:szCs w:val="22"/>
        </w:rPr>
        <w:t xml:space="preserve">, 06-096 C.M.R. </w:t>
      </w:r>
      <w:proofErr w:type="spellStart"/>
      <w:r>
        <w:rPr>
          <w:szCs w:val="22"/>
        </w:rPr>
        <w:t>ch.</w:t>
      </w:r>
      <w:proofErr w:type="spellEnd"/>
      <w:r>
        <w:rPr>
          <w:szCs w:val="22"/>
        </w:rPr>
        <w:t xml:space="preserve"> 115</w:t>
      </w:r>
      <w:r w:rsidR="00DA0419">
        <w:rPr>
          <w:szCs w:val="22"/>
        </w:rPr>
        <w:t>,</w:t>
      </w:r>
      <w:r>
        <w:rPr>
          <w:szCs w:val="22"/>
        </w:rPr>
        <w:t xml:space="preserve"> or </w:t>
      </w:r>
      <w:r>
        <w:rPr>
          <w:i/>
          <w:iCs/>
          <w:szCs w:val="22"/>
        </w:rPr>
        <w:t>Part 70 Air Emission License Regulation,</w:t>
      </w:r>
      <w:r>
        <w:rPr>
          <w:szCs w:val="22"/>
        </w:rPr>
        <w:t xml:space="preserve"> 06-096 C.M.R. </w:t>
      </w:r>
      <w:proofErr w:type="spellStart"/>
      <w:r>
        <w:rPr>
          <w:szCs w:val="22"/>
        </w:rPr>
        <w:t>ch.</w:t>
      </w:r>
      <w:proofErr w:type="spellEnd"/>
      <w:r>
        <w:rPr>
          <w:szCs w:val="22"/>
        </w:rPr>
        <w:t xml:space="preserve"> 140</w:t>
      </w:r>
      <w:r w:rsidR="00DA0419">
        <w:rPr>
          <w:szCs w:val="22"/>
        </w:rPr>
        <w:t>,</w:t>
      </w:r>
      <w:r>
        <w:rPr>
          <w:szCs w:val="22"/>
        </w:rPr>
        <w:t xml:space="preserve"> shall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and shall include, but not be limited to</w:t>
      </w:r>
      <w:r w:rsidR="002C5AF1">
        <w:rPr>
          <w:szCs w:val="22"/>
        </w:rPr>
        <w:t xml:space="preserve"> the following</w:t>
      </w:r>
      <w:r>
        <w:rPr>
          <w:szCs w:val="22"/>
        </w:rPr>
        <w:t>:</w:t>
      </w:r>
    </w:p>
    <w:p w14:paraId="4C9BB5C3" w14:textId="164594F9" w:rsidR="00A76D29" w:rsidRDefault="00A76D29">
      <w:pPr>
        <w:pStyle w:val="BodyTextIndent"/>
        <w:tabs>
          <w:tab w:val="clear" w:pos="360"/>
          <w:tab w:val="clear" w:pos="1080"/>
          <w:tab w:val="clear" w:pos="1440"/>
          <w:tab w:val="left" w:pos="1530"/>
          <w:tab w:val="left" w:pos="3600"/>
          <w:tab w:val="left" w:pos="3960"/>
          <w:tab w:val="left" w:pos="4320"/>
        </w:tabs>
        <w:spacing w:line="240" w:lineRule="atLeast"/>
        <w:ind w:firstLine="0"/>
        <w:jc w:val="left"/>
        <w:rPr>
          <w:szCs w:val="22"/>
        </w:rPr>
      </w:pPr>
    </w:p>
    <w:p w14:paraId="0670D2E0" w14:textId="76E6018B" w:rsidR="00A76D29" w:rsidRDefault="00A76D29" w:rsidP="00B234C7">
      <w:pPr>
        <w:pStyle w:val="BodyTextIndent"/>
        <w:numPr>
          <w:ilvl w:val="0"/>
          <w:numId w:val="15"/>
        </w:numPr>
        <w:tabs>
          <w:tab w:val="clear" w:pos="360"/>
          <w:tab w:val="clear" w:pos="1080"/>
          <w:tab w:val="clear" w:pos="1440"/>
          <w:tab w:val="left" w:pos="1530"/>
          <w:tab w:val="left" w:pos="3600"/>
          <w:tab w:val="left" w:pos="3960"/>
          <w:tab w:val="left" w:pos="4320"/>
        </w:tabs>
        <w:spacing w:line="240" w:lineRule="atLeast"/>
        <w:jc w:val="left"/>
        <w:rPr>
          <w:szCs w:val="22"/>
        </w:rPr>
      </w:pPr>
      <w:r>
        <w:rPr>
          <w:szCs w:val="22"/>
        </w:rPr>
        <w:t>The use of water or other appropriate material to prevent airborne particulate matter generated by the demolition of buildings or other structures; construction operations; the clearing or grading of land; or the grading, construction, or improvement of roads;</w:t>
      </w:r>
    </w:p>
    <w:p w14:paraId="3C424DF2" w14:textId="77777777" w:rsidR="00A76D29" w:rsidRDefault="00A76D29">
      <w:pPr>
        <w:pStyle w:val="BodyTextIndent"/>
        <w:tabs>
          <w:tab w:val="clear" w:pos="360"/>
          <w:tab w:val="clear" w:pos="1080"/>
          <w:tab w:val="clear" w:pos="1440"/>
          <w:tab w:val="left" w:pos="1530"/>
          <w:tab w:val="left" w:pos="3600"/>
          <w:tab w:val="left" w:pos="3960"/>
          <w:tab w:val="left" w:pos="4320"/>
        </w:tabs>
        <w:spacing w:line="240" w:lineRule="atLeast"/>
        <w:ind w:left="1440" w:firstLine="0"/>
        <w:jc w:val="left"/>
        <w:rPr>
          <w:szCs w:val="22"/>
        </w:rPr>
      </w:pPr>
    </w:p>
    <w:p w14:paraId="568615BF" w14:textId="1E1E9EFB" w:rsidR="00A76D29" w:rsidRDefault="00A76D29" w:rsidP="00B234C7">
      <w:pPr>
        <w:pStyle w:val="BodyTextIndent"/>
        <w:numPr>
          <w:ilvl w:val="0"/>
          <w:numId w:val="15"/>
        </w:numPr>
        <w:tabs>
          <w:tab w:val="clear" w:pos="360"/>
          <w:tab w:val="clear" w:pos="1080"/>
          <w:tab w:val="clear" w:pos="1440"/>
          <w:tab w:val="left" w:pos="1530"/>
          <w:tab w:val="left" w:pos="3600"/>
          <w:tab w:val="left" w:pos="3960"/>
          <w:tab w:val="left" w:pos="4320"/>
        </w:tabs>
        <w:spacing w:line="240" w:lineRule="atLeast"/>
        <w:jc w:val="left"/>
        <w:rPr>
          <w:szCs w:val="22"/>
        </w:rPr>
      </w:pPr>
      <w:bookmarkStart w:id="11" w:name="_Hlk121907856"/>
      <w:r>
        <w:rPr>
          <w:szCs w:val="22"/>
        </w:rPr>
        <w:t>The application of asphalt, water, suitable materials,</w:t>
      </w:r>
      <w:r w:rsidR="00C04495">
        <w:rPr>
          <w:szCs w:val="22"/>
        </w:rPr>
        <w:t xml:space="preserve"> wind barriers,</w:t>
      </w:r>
      <w:r>
        <w:rPr>
          <w:szCs w:val="22"/>
        </w:rPr>
        <w:t xml:space="preserve"> or covers to material stockpiles, roads, and other surfaces that can </w:t>
      </w:r>
      <w:r w:rsidR="003F15AA">
        <w:rPr>
          <w:szCs w:val="22"/>
        </w:rPr>
        <w:t xml:space="preserve">be sources of </w:t>
      </w:r>
      <w:r>
        <w:rPr>
          <w:szCs w:val="22"/>
        </w:rPr>
        <w:t>airborne particulate matter;</w:t>
      </w:r>
    </w:p>
    <w:bookmarkEnd w:id="11"/>
    <w:p w14:paraId="6D1C9CA9" w14:textId="77777777" w:rsidR="00A76D29" w:rsidRDefault="00A76D29">
      <w:pPr>
        <w:pStyle w:val="ListParagraph"/>
        <w:rPr>
          <w:szCs w:val="22"/>
        </w:rPr>
      </w:pPr>
    </w:p>
    <w:p w14:paraId="58165DE2" w14:textId="1CA010EC" w:rsidR="00A76D29" w:rsidRDefault="00A76D29" w:rsidP="00B234C7">
      <w:pPr>
        <w:pStyle w:val="BodyTextIndent"/>
        <w:numPr>
          <w:ilvl w:val="0"/>
          <w:numId w:val="15"/>
        </w:numPr>
        <w:tabs>
          <w:tab w:val="clear" w:pos="360"/>
          <w:tab w:val="clear" w:pos="1080"/>
          <w:tab w:val="clear" w:pos="1440"/>
          <w:tab w:val="left" w:pos="1530"/>
          <w:tab w:val="left" w:pos="3600"/>
          <w:tab w:val="left" w:pos="3960"/>
          <w:tab w:val="left" w:pos="4320"/>
        </w:tabs>
        <w:spacing w:line="240" w:lineRule="atLeast"/>
        <w:jc w:val="left"/>
        <w:rPr>
          <w:szCs w:val="22"/>
        </w:rPr>
      </w:pPr>
      <w:bookmarkStart w:id="12" w:name="_Hlk121907949"/>
      <w:r>
        <w:rPr>
          <w:szCs w:val="22"/>
        </w:rPr>
        <w:t>The use of hoods, fans</w:t>
      </w:r>
      <w:r w:rsidR="00C04495">
        <w:rPr>
          <w:szCs w:val="22"/>
        </w:rPr>
        <w:t>, suction devices,</w:t>
      </w:r>
      <w:r>
        <w:rPr>
          <w:szCs w:val="22"/>
        </w:rPr>
        <w:t xml:space="preserve"> fabric filters, or other devices to enclose</w:t>
      </w:r>
      <w:r w:rsidR="003F15AA">
        <w:rPr>
          <w:szCs w:val="22"/>
        </w:rPr>
        <w:t>,</w:t>
      </w:r>
      <w:r>
        <w:rPr>
          <w:szCs w:val="22"/>
        </w:rPr>
        <w:t xml:space="preserve"> vent</w:t>
      </w:r>
      <w:r w:rsidR="003F15AA">
        <w:rPr>
          <w:szCs w:val="22"/>
        </w:rPr>
        <w:t>, and control visible emissions from</w:t>
      </w:r>
      <w:r>
        <w:rPr>
          <w:szCs w:val="22"/>
        </w:rPr>
        <w:t xml:space="preserve"> the handling of materials that can </w:t>
      </w:r>
      <w:r w:rsidR="003F15AA">
        <w:rPr>
          <w:szCs w:val="22"/>
        </w:rPr>
        <w:t>be the source of</w:t>
      </w:r>
      <w:r>
        <w:rPr>
          <w:szCs w:val="22"/>
        </w:rPr>
        <w:t xml:space="preserve"> airborne particulate matter;</w:t>
      </w:r>
    </w:p>
    <w:bookmarkEnd w:id="12"/>
    <w:p w14:paraId="2E774329" w14:textId="77777777" w:rsidR="00A76D29" w:rsidRDefault="00A76D29">
      <w:pPr>
        <w:pStyle w:val="ListParagraph"/>
        <w:rPr>
          <w:szCs w:val="22"/>
        </w:rPr>
      </w:pPr>
    </w:p>
    <w:p w14:paraId="19597797" w14:textId="77777777" w:rsidR="003F15AA" w:rsidRDefault="003F15AA" w:rsidP="00B234C7">
      <w:pPr>
        <w:pStyle w:val="BodyTextIndent"/>
        <w:numPr>
          <w:ilvl w:val="0"/>
          <w:numId w:val="17"/>
        </w:numPr>
        <w:tabs>
          <w:tab w:val="clear" w:pos="360"/>
          <w:tab w:val="clear" w:pos="1080"/>
          <w:tab w:val="clear" w:pos="1440"/>
          <w:tab w:val="left" w:pos="1530"/>
          <w:tab w:val="left" w:pos="3600"/>
          <w:tab w:val="left" w:pos="3960"/>
          <w:tab w:val="left" w:pos="4320"/>
        </w:tabs>
        <w:spacing w:line="240" w:lineRule="atLeast"/>
        <w:rPr>
          <w:szCs w:val="22"/>
        </w:rPr>
      </w:pPr>
      <w:r>
        <w:rPr>
          <w:szCs w:val="22"/>
        </w:rPr>
        <w:t>The covering, while in motion, of open-bodied trucks, open-bodied trailers, and railroad cars transporting materials that may be sources of airborne particulate matter;</w:t>
      </w:r>
    </w:p>
    <w:p w14:paraId="19437E34" w14:textId="77777777" w:rsidR="00A76D29" w:rsidRDefault="00A76D29">
      <w:pPr>
        <w:pStyle w:val="ListParagraph"/>
        <w:rPr>
          <w:szCs w:val="22"/>
        </w:rPr>
      </w:pPr>
    </w:p>
    <w:p w14:paraId="527979D3" w14:textId="0267E6AC" w:rsidR="00A76D29" w:rsidRDefault="00A76D29" w:rsidP="00B234C7">
      <w:pPr>
        <w:pStyle w:val="BodyTextIndent"/>
        <w:numPr>
          <w:ilvl w:val="0"/>
          <w:numId w:val="15"/>
        </w:numPr>
        <w:tabs>
          <w:tab w:val="clear" w:pos="360"/>
          <w:tab w:val="clear" w:pos="1080"/>
          <w:tab w:val="clear" w:pos="1440"/>
          <w:tab w:val="left" w:pos="1530"/>
          <w:tab w:val="left" w:pos="3600"/>
          <w:tab w:val="left" w:pos="3960"/>
          <w:tab w:val="left" w:pos="4320"/>
        </w:tabs>
        <w:spacing w:line="240" w:lineRule="atLeast"/>
        <w:jc w:val="left"/>
        <w:rPr>
          <w:szCs w:val="22"/>
        </w:rPr>
      </w:pPr>
      <w:r>
        <w:rPr>
          <w:szCs w:val="22"/>
        </w:rPr>
        <w:t xml:space="preserve">The prompt removal of earth or other material deposited onto paved </w:t>
      </w:r>
      <w:r w:rsidR="003F15AA">
        <w:rPr>
          <w:szCs w:val="22"/>
        </w:rPr>
        <w:t>surfaces</w:t>
      </w:r>
      <w:r>
        <w:rPr>
          <w:szCs w:val="22"/>
        </w:rPr>
        <w:t xml:space="preserve"> by trucking, earth moving equipment, erosion, or other means; and</w:t>
      </w:r>
    </w:p>
    <w:p w14:paraId="43FE448C" w14:textId="77777777" w:rsidR="00A76D29" w:rsidRDefault="00A76D29">
      <w:pPr>
        <w:pStyle w:val="ListParagraph"/>
        <w:rPr>
          <w:szCs w:val="22"/>
        </w:rPr>
      </w:pPr>
    </w:p>
    <w:p w14:paraId="4A01D968" w14:textId="2FD59A0D" w:rsidR="00A76D29" w:rsidRDefault="00A76D29" w:rsidP="00B234C7">
      <w:pPr>
        <w:pStyle w:val="BodyTextIndent"/>
        <w:numPr>
          <w:ilvl w:val="0"/>
          <w:numId w:val="15"/>
        </w:numPr>
        <w:tabs>
          <w:tab w:val="clear" w:pos="360"/>
          <w:tab w:val="clear" w:pos="1080"/>
          <w:tab w:val="clear" w:pos="1440"/>
          <w:tab w:val="left" w:pos="1530"/>
          <w:tab w:val="left" w:pos="3600"/>
          <w:tab w:val="left" w:pos="3960"/>
          <w:tab w:val="left" w:pos="4320"/>
        </w:tabs>
        <w:spacing w:line="240" w:lineRule="atLeast"/>
        <w:jc w:val="left"/>
        <w:rPr>
          <w:szCs w:val="22"/>
        </w:rPr>
      </w:pPr>
      <w:r>
        <w:rPr>
          <w:szCs w:val="22"/>
        </w:rPr>
        <w:t>The use of containment methods for sandblasting or similar operations.</w:t>
      </w:r>
    </w:p>
    <w:p w14:paraId="67F385B1" w14:textId="77777777" w:rsidR="00A76D29" w:rsidRDefault="00A76D29">
      <w:pPr>
        <w:pStyle w:val="BodyTextIndent"/>
        <w:tabs>
          <w:tab w:val="clear" w:pos="360"/>
          <w:tab w:val="clear" w:pos="1080"/>
          <w:tab w:val="clear" w:pos="1440"/>
          <w:tab w:val="left" w:pos="1530"/>
          <w:tab w:val="left" w:pos="3600"/>
          <w:tab w:val="left" w:pos="3960"/>
          <w:tab w:val="left" w:pos="4320"/>
        </w:tabs>
        <w:spacing w:line="240" w:lineRule="atLeast"/>
        <w:ind w:firstLine="0"/>
        <w:jc w:val="left"/>
        <w:rPr>
          <w:szCs w:val="22"/>
        </w:rPr>
      </w:pPr>
    </w:p>
    <w:p w14:paraId="1997F7A5" w14:textId="618E1178" w:rsidR="00A76D29" w:rsidRPr="006D3362" w:rsidRDefault="00A76D29" w:rsidP="00B234C7">
      <w:pPr>
        <w:pStyle w:val="BodyTextIndent"/>
        <w:numPr>
          <w:ilvl w:val="0"/>
          <w:numId w:val="14"/>
        </w:numPr>
        <w:tabs>
          <w:tab w:val="clear" w:pos="360"/>
          <w:tab w:val="clear" w:pos="1080"/>
          <w:tab w:val="clear" w:pos="1440"/>
          <w:tab w:val="left" w:pos="1530"/>
          <w:tab w:val="left" w:pos="3600"/>
          <w:tab w:val="left" w:pos="3960"/>
          <w:tab w:val="left" w:pos="4320"/>
        </w:tabs>
        <w:spacing w:line="240" w:lineRule="atLeast"/>
        <w:jc w:val="left"/>
        <w:rPr>
          <w:szCs w:val="22"/>
        </w:rPr>
      </w:pPr>
      <w:bookmarkStart w:id="13" w:name="_Hlk122094877"/>
      <w:r>
        <w:rPr>
          <w:szCs w:val="22"/>
        </w:rPr>
        <w:t>No person shall cause or allow</w:t>
      </w:r>
      <w:r w:rsidR="00F92C45">
        <w:rPr>
          <w:szCs w:val="22"/>
        </w:rPr>
        <w:t xml:space="preserve"> visible emissions</w:t>
      </w:r>
      <w:r w:rsidR="00414F35">
        <w:rPr>
          <w:szCs w:val="22"/>
        </w:rPr>
        <w:t xml:space="preserve"> within 20 feet of ground level</w:t>
      </w:r>
      <w:r w:rsidR="00F92C45">
        <w:rPr>
          <w:szCs w:val="22"/>
        </w:rPr>
        <w:t>, measured as any level of opacity</w:t>
      </w:r>
      <w:r w:rsidR="005237C4">
        <w:rPr>
          <w:szCs w:val="22"/>
        </w:rPr>
        <w:t xml:space="preserve"> </w:t>
      </w:r>
      <w:r w:rsidR="00414F35">
        <w:rPr>
          <w:szCs w:val="22"/>
        </w:rPr>
        <w:t xml:space="preserve">and not including water vapor, </w:t>
      </w:r>
      <w:r>
        <w:rPr>
          <w:szCs w:val="22"/>
        </w:rPr>
        <w:t>beyond the legal boundary of the property on which such emissions occur</w:t>
      </w:r>
      <w:r w:rsidR="006D3362">
        <w:rPr>
          <w:szCs w:val="22"/>
        </w:rPr>
        <w:t>.</w:t>
      </w:r>
      <w:r w:rsidR="00A22CF9">
        <w:rPr>
          <w:szCs w:val="22"/>
        </w:rPr>
        <w:t xml:space="preserve"> Compliance with this standard shall be determined pursuant to</w:t>
      </w:r>
      <w:r w:rsidR="00337D0F">
        <w:rPr>
          <w:szCs w:val="22"/>
        </w:rPr>
        <w:t xml:space="preserve"> </w:t>
      </w:r>
      <w:r w:rsidR="00A22CF9" w:rsidRPr="00BE136A">
        <w:rPr>
          <w:bCs/>
          <w:szCs w:val="22"/>
        </w:rPr>
        <w:t xml:space="preserve">40 C.F.R. Part 60, Appendix A, Method </w:t>
      </w:r>
      <w:r w:rsidR="00A22CF9">
        <w:rPr>
          <w:bCs/>
          <w:szCs w:val="22"/>
        </w:rPr>
        <w:t>22</w:t>
      </w:r>
      <w:r w:rsidR="00DA0419">
        <w:rPr>
          <w:bCs/>
          <w:szCs w:val="22"/>
        </w:rPr>
        <w:t xml:space="preserve"> (as published December 7, 2020)</w:t>
      </w:r>
      <w:r w:rsidR="00A22CF9">
        <w:rPr>
          <w:bCs/>
          <w:szCs w:val="22"/>
        </w:rPr>
        <w:t>.</w:t>
      </w:r>
      <w:r w:rsidR="00A22CF9">
        <w:rPr>
          <w:szCs w:val="22"/>
        </w:rPr>
        <w:t xml:space="preserve"> </w:t>
      </w:r>
    </w:p>
    <w:bookmarkEnd w:id="13"/>
    <w:bookmarkEnd w:id="10"/>
    <w:p w14:paraId="5E61C818" w14:textId="77777777" w:rsidR="00305819" w:rsidRPr="00BE136A" w:rsidRDefault="00305819" w:rsidP="004C532F">
      <w:pPr>
        <w:pStyle w:val="BodyTextIndent"/>
        <w:tabs>
          <w:tab w:val="clear" w:pos="360"/>
          <w:tab w:val="clear" w:pos="1080"/>
        </w:tabs>
        <w:ind w:left="720" w:hanging="360"/>
        <w:jc w:val="left"/>
        <w:rPr>
          <w:b/>
          <w:szCs w:val="22"/>
        </w:rPr>
      </w:pPr>
    </w:p>
    <w:p w14:paraId="5E61C819" w14:textId="16986239" w:rsidR="003E5CD0" w:rsidRPr="00BE136A" w:rsidRDefault="003E5CD0" w:rsidP="00B234C7">
      <w:pPr>
        <w:pStyle w:val="Heading2"/>
        <w:jc w:val="left"/>
        <w:rPr>
          <w:sz w:val="22"/>
          <w:szCs w:val="22"/>
        </w:rPr>
      </w:pPr>
      <w:r w:rsidRPr="00BE136A">
        <w:rPr>
          <w:sz w:val="22"/>
          <w:szCs w:val="22"/>
        </w:rPr>
        <w:t xml:space="preserve">Combined </w:t>
      </w:r>
      <w:r w:rsidR="002C5AF1">
        <w:rPr>
          <w:sz w:val="22"/>
          <w:szCs w:val="22"/>
        </w:rPr>
        <w:t>s</w:t>
      </w:r>
      <w:r w:rsidRPr="00BE136A">
        <w:rPr>
          <w:sz w:val="22"/>
          <w:szCs w:val="22"/>
        </w:rPr>
        <w:t xml:space="preserve">tack </w:t>
      </w:r>
      <w:r w:rsidR="002C5AF1">
        <w:rPr>
          <w:sz w:val="22"/>
          <w:szCs w:val="22"/>
        </w:rPr>
        <w:t>e</w:t>
      </w:r>
      <w:r w:rsidRPr="00BE136A">
        <w:rPr>
          <w:sz w:val="22"/>
          <w:szCs w:val="22"/>
        </w:rPr>
        <w:t>missions</w:t>
      </w:r>
    </w:p>
    <w:p w14:paraId="5E61C81A" w14:textId="77777777" w:rsidR="003E5CD0" w:rsidRPr="00BE136A" w:rsidRDefault="003E5CD0">
      <w:pPr>
        <w:pStyle w:val="BodyTextIndent"/>
        <w:tabs>
          <w:tab w:val="clear" w:pos="360"/>
          <w:tab w:val="clear" w:pos="1080"/>
        </w:tabs>
        <w:ind w:left="720" w:hanging="360"/>
        <w:jc w:val="left"/>
        <w:rPr>
          <w:szCs w:val="22"/>
        </w:rPr>
      </w:pPr>
    </w:p>
    <w:p w14:paraId="5E61C81B" w14:textId="2C88F410" w:rsidR="003E5CD0" w:rsidRPr="00BE136A" w:rsidRDefault="003E5CD0">
      <w:pPr>
        <w:pStyle w:val="BodyTextIndent"/>
        <w:tabs>
          <w:tab w:val="clear" w:pos="360"/>
          <w:tab w:val="clear" w:pos="1080"/>
        </w:tabs>
        <w:ind w:left="720" w:firstLine="0"/>
        <w:jc w:val="left"/>
        <w:rPr>
          <w:szCs w:val="22"/>
        </w:rPr>
      </w:pPr>
      <w:r w:rsidRPr="00BE136A">
        <w:rPr>
          <w:szCs w:val="22"/>
        </w:rPr>
        <w:t>Except</w:t>
      </w:r>
      <w:r w:rsidR="0071156E" w:rsidRPr="00BE136A">
        <w:rPr>
          <w:szCs w:val="22"/>
        </w:rPr>
        <w:t xml:space="preserve"> as provided for in </w:t>
      </w:r>
      <w:r w:rsidR="00414F35">
        <w:rPr>
          <w:szCs w:val="22"/>
        </w:rPr>
        <w:t xml:space="preserve">Section 5 of this </w:t>
      </w:r>
      <w:r w:rsidR="00FA2C7F">
        <w:rPr>
          <w:szCs w:val="22"/>
        </w:rPr>
        <w:t>C</w:t>
      </w:r>
      <w:r w:rsidR="00414F35">
        <w:rPr>
          <w:szCs w:val="22"/>
        </w:rPr>
        <w:t>hapter</w:t>
      </w:r>
      <w:r w:rsidRPr="00BE136A">
        <w:rPr>
          <w:szCs w:val="22"/>
        </w:rPr>
        <w:t xml:space="preserve">, visible emissions from two or more of any combination of sources subject to this Chapter which are operating concurrently and emitting air contaminants through </w:t>
      </w:r>
      <w:r w:rsidR="00414F35">
        <w:rPr>
          <w:szCs w:val="22"/>
        </w:rPr>
        <w:t>a</w:t>
      </w:r>
      <w:r w:rsidR="00414F35" w:rsidRPr="00BE136A">
        <w:rPr>
          <w:szCs w:val="22"/>
        </w:rPr>
        <w:t xml:space="preserve"> </w:t>
      </w:r>
      <w:r w:rsidRPr="00BE136A">
        <w:rPr>
          <w:szCs w:val="22"/>
        </w:rPr>
        <w:t>common stack or vent shall comply with either (1) or (2) below. Sources which emit through a common stack subject to this section are subject to the standards applicable to individual sources elsewhere in this Chapter when only one of the sources is in operation.</w:t>
      </w:r>
    </w:p>
    <w:p w14:paraId="5E61C81C" w14:textId="77777777" w:rsidR="00305819" w:rsidRPr="00BE136A" w:rsidRDefault="00305819">
      <w:pPr>
        <w:pStyle w:val="BodyTextIndent"/>
        <w:tabs>
          <w:tab w:val="clear" w:pos="360"/>
          <w:tab w:val="clear" w:pos="1080"/>
        </w:tabs>
        <w:ind w:left="720" w:firstLine="0"/>
        <w:jc w:val="left"/>
        <w:rPr>
          <w:szCs w:val="22"/>
        </w:rPr>
      </w:pPr>
    </w:p>
    <w:p w14:paraId="339F6C7D" w14:textId="129D2ED2" w:rsidR="00DC35ED" w:rsidRPr="00BE136A" w:rsidRDefault="003E5CD0" w:rsidP="00B234C7">
      <w:pPr>
        <w:pStyle w:val="BodyTextIndent"/>
        <w:numPr>
          <w:ilvl w:val="0"/>
          <w:numId w:val="8"/>
        </w:numPr>
        <w:tabs>
          <w:tab w:val="clear" w:pos="360"/>
          <w:tab w:val="clear" w:pos="720"/>
          <w:tab w:val="clear" w:pos="1440"/>
          <w:tab w:val="clear" w:pos="1800"/>
        </w:tabs>
        <w:jc w:val="left"/>
        <w:rPr>
          <w:szCs w:val="22"/>
        </w:rPr>
      </w:pPr>
      <w:r w:rsidRPr="00BE136A">
        <w:rPr>
          <w:szCs w:val="22"/>
        </w:rPr>
        <w:t>Visible emissions from a common stack</w:t>
      </w:r>
      <w:r w:rsidR="00E004A8">
        <w:rPr>
          <w:szCs w:val="22"/>
        </w:rPr>
        <w:t xml:space="preserve"> that is</w:t>
      </w:r>
      <w:r w:rsidRPr="00BE136A">
        <w:rPr>
          <w:szCs w:val="22"/>
        </w:rPr>
        <w:t xml:space="preserve"> not monitored by a COMS</w:t>
      </w:r>
      <w:r w:rsidR="00E004A8">
        <w:rPr>
          <w:szCs w:val="22"/>
        </w:rPr>
        <w:t xml:space="preserve"> </w:t>
      </w:r>
      <w:r w:rsidRPr="00BE136A">
        <w:rPr>
          <w:szCs w:val="22"/>
        </w:rPr>
        <w:t>shall not exceed an opacity</w:t>
      </w:r>
      <w:r w:rsidR="000D00A6">
        <w:rPr>
          <w:szCs w:val="22"/>
        </w:rPr>
        <w:t xml:space="preserve"> equivalent to the highest </w:t>
      </w:r>
      <w:r w:rsidR="00AC7A26">
        <w:rPr>
          <w:szCs w:val="22"/>
        </w:rPr>
        <w:t xml:space="preserve">applicable </w:t>
      </w:r>
      <w:r w:rsidR="000D00A6">
        <w:rPr>
          <w:szCs w:val="22"/>
        </w:rPr>
        <w:t xml:space="preserve">standard for the individual units which exhaust to the common stack. During periods when at least one unit is subject to an alternative limit due </w:t>
      </w:r>
      <w:r w:rsidR="000D00A6">
        <w:rPr>
          <w:szCs w:val="22"/>
        </w:rPr>
        <w:lastRenderedPageBreak/>
        <w:t>to startup, shutdown, or malfunction or is complying with an alternative work practice standard, the alternative standard or alternative work practice standard shall apply to the common stack.</w:t>
      </w:r>
    </w:p>
    <w:p w14:paraId="7302F387" w14:textId="77777777" w:rsidR="00DC35ED" w:rsidRPr="00BE136A" w:rsidRDefault="00DC35ED" w:rsidP="00834ED3">
      <w:pPr>
        <w:pStyle w:val="BodyTextIndent"/>
        <w:tabs>
          <w:tab w:val="clear" w:pos="360"/>
          <w:tab w:val="clear" w:pos="720"/>
          <w:tab w:val="clear" w:pos="1440"/>
          <w:tab w:val="clear" w:pos="1800"/>
        </w:tabs>
        <w:ind w:firstLine="0"/>
        <w:jc w:val="left"/>
        <w:rPr>
          <w:szCs w:val="22"/>
        </w:rPr>
      </w:pPr>
    </w:p>
    <w:p w14:paraId="5E61C81F" w14:textId="79C1EA32" w:rsidR="003E5CD0" w:rsidRPr="00BE136A" w:rsidRDefault="003E5CD0" w:rsidP="00B234C7">
      <w:pPr>
        <w:pStyle w:val="BodyTextIndent"/>
        <w:numPr>
          <w:ilvl w:val="0"/>
          <w:numId w:val="8"/>
        </w:numPr>
        <w:tabs>
          <w:tab w:val="clear" w:pos="360"/>
          <w:tab w:val="clear" w:pos="720"/>
          <w:tab w:val="clear" w:pos="1440"/>
          <w:tab w:val="clear" w:pos="1800"/>
        </w:tabs>
        <w:jc w:val="left"/>
        <w:rPr>
          <w:szCs w:val="22"/>
        </w:rPr>
      </w:pPr>
      <w:bookmarkStart w:id="14" w:name="_Hlk121908679"/>
      <w:r w:rsidRPr="00BE136A">
        <w:rPr>
          <w:szCs w:val="22"/>
        </w:rPr>
        <w:t>Visible emissions from a common stack</w:t>
      </w:r>
      <w:r w:rsidR="000D00A6">
        <w:rPr>
          <w:szCs w:val="22"/>
        </w:rPr>
        <w:t xml:space="preserve"> that is</w:t>
      </w:r>
      <w:r w:rsidRPr="00BE136A">
        <w:rPr>
          <w:szCs w:val="22"/>
        </w:rPr>
        <w:t xml:space="preserve"> monitored by a COMS</w:t>
      </w:r>
      <w:r w:rsidR="000D00A6">
        <w:rPr>
          <w:szCs w:val="22"/>
        </w:rPr>
        <w:t xml:space="preserve"> </w:t>
      </w:r>
      <w:r w:rsidRPr="00BE136A">
        <w:rPr>
          <w:szCs w:val="22"/>
        </w:rPr>
        <w:t xml:space="preserve">shall not exceed an opacity </w:t>
      </w:r>
      <w:r w:rsidR="00AC7A26">
        <w:rPr>
          <w:szCs w:val="22"/>
        </w:rPr>
        <w:t>equivalent to the highest applicable standard for the individual units which exhaust to the common stack</w:t>
      </w:r>
      <w:r w:rsidR="00834D29">
        <w:rPr>
          <w:szCs w:val="22"/>
        </w:rPr>
        <w:t xml:space="preserve">. </w:t>
      </w:r>
      <w:r w:rsidRPr="00BE136A" w:rsidDel="00B82960">
        <w:rPr>
          <w:szCs w:val="22"/>
        </w:rPr>
        <w:t xml:space="preserve"> </w:t>
      </w:r>
    </w:p>
    <w:p w14:paraId="5E61C829" w14:textId="5F82DD15" w:rsidR="003E5CD0" w:rsidRPr="00BE136A" w:rsidRDefault="003E5CD0">
      <w:pPr>
        <w:pStyle w:val="BodyTextIndent"/>
        <w:tabs>
          <w:tab w:val="clear" w:pos="1080"/>
          <w:tab w:val="clear" w:pos="2160"/>
        </w:tabs>
        <w:ind w:left="720" w:firstLine="0"/>
        <w:jc w:val="left"/>
        <w:rPr>
          <w:szCs w:val="22"/>
        </w:rPr>
      </w:pPr>
      <w:bookmarkStart w:id="15" w:name="_Hlk121909275"/>
      <w:bookmarkEnd w:id="14"/>
    </w:p>
    <w:bookmarkEnd w:id="15"/>
    <w:p w14:paraId="5E61C82B" w14:textId="3F1F7CA7" w:rsidR="003E5CD0" w:rsidRPr="00BE136A" w:rsidRDefault="006316B9" w:rsidP="00B234C7">
      <w:pPr>
        <w:pStyle w:val="Heading1"/>
        <w:jc w:val="left"/>
        <w:rPr>
          <w:sz w:val="22"/>
          <w:szCs w:val="22"/>
        </w:rPr>
      </w:pPr>
      <w:r w:rsidRPr="00BE136A">
        <w:rPr>
          <w:sz w:val="22"/>
          <w:szCs w:val="22"/>
        </w:rPr>
        <w:t>Alternative</w:t>
      </w:r>
      <w:r w:rsidR="00B52B3E">
        <w:rPr>
          <w:sz w:val="22"/>
          <w:szCs w:val="22"/>
        </w:rPr>
        <w:t xml:space="preserve"> Emission Standards and</w:t>
      </w:r>
      <w:r w:rsidRPr="00BE136A">
        <w:rPr>
          <w:sz w:val="22"/>
          <w:szCs w:val="22"/>
        </w:rPr>
        <w:t xml:space="preserve"> </w:t>
      </w:r>
      <w:r w:rsidR="003E5CD0" w:rsidRPr="00BE136A">
        <w:rPr>
          <w:sz w:val="22"/>
          <w:szCs w:val="22"/>
        </w:rPr>
        <w:t xml:space="preserve">Work Practice Standards for Periods of </w:t>
      </w:r>
      <w:r w:rsidR="00A241E2" w:rsidRPr="00BE136A">
        <w:rPr>
          <w:sz w:val="22"/>
          <w:szCs w:val="22"/>
        </w:rPr>
        <w:t>Equipment Maintenance</w:t>
      </w:r>
    </w:p>
    <w:p w14:paraId="5E61C82C" w14:textId="77777777" w:rsidR="003E5CD0" w:rsidRPr="00BE136A" w:rsidRDefault="003E5CD0">
      <w:pPr>
        <w:pStyle w:val="RulesSection"/>
        <w:tabs>
          <w:tab w:val="left" w:pos="360"/>
          <w:tab w:val="left" w:pos="720"/>
          <w:tab w:val="left" w:pos="1080"/>
          <w:tab w:val="left" w:pos="1440"/>
          <w:tab w:val="left" w:pos="1800"/>
          <w:tab w:val="left" w:pos="2160"/>
          <w:tab w:val="left" w:pos="2520"/>
          <w:tab w:val="left" w:pos="2880"/>
          <w:tab w:val="left" w:pos="3240"/>
        </w:tabs>
        <w:jc w:val="left"/>
        <w:rPr>
          <w:szCs w:val="22"/>
        </w:rPr>
      </w:pPr>
    </w:p>
    <w:p w14:paraId="5E61C839" w14:textId="0B45F32A" w:rsidR="003E5CD0" w:rsidRPr="007E2CE2" w:rsidRDefault="00B7016A" w:rsidP="00B234C7">
      <w:pPr>
        <w:pStyle w:val="Heading2"/>
        <w:numPr>
          <w:ilvl w:val="0"/>
          <w:numId w:val="24"/>
        </w:numPr>
        <w:jc w:val="left"/>
        <w:rPr>
          <w:sz w:val="22"/>
          <w:szCs w:val="22"/>
        </w:rPr>
      </w:pPr>
      <w:r w:rsidRPr="007E2CE2">
        <w:rPr>
          <w:sz w:val="22"/>
          <w:szCs w:val="22"/>
        </w:rPr>
        <w:t>RTO</w:t>
      </w:r>
      <w:r w:rsidR="00F275CF" w:rsidRPr="007E2CE2">
        <w:rPr>
          <w:sz w:val="22"/>
          <w:szCs w:val="22"/>
        </w:rPr>
        <w:t>/RCO</w:t>
      </w:r>
      <w:r w:rsidRPr="007E2CE2">
        <w:rPr>
          <w:sz w:val="22"/>
          <w:szCs w:val="22"/>
        </w:rPr>
        <w:t xml:space="preserve"> </w:t>
      </w:r>
      <w:r w:rsidR="002C5AF1">
        <w:rPr>
          <w:sz w:val="22"/>
          <w:szCs w:val="22"/>
        </w:rPr>
        <w:t>b</w:t>
      </w:r>
      <w:r w:rsidRPr="007E2CE2">
        <w:rPr>
          <w:sz w:val="22"/>
          <w:szCs w:val="22"/>
        </w:rPr>
        <w:t>ake-</w:t>
      </w:r>
      <w:r w:rsidR="002C5AF1">
        <w:rPr>
          <w:sz w:val="22"/>
          <w:szCs w:val="22"/>
        </w:rPr>
        <w:t>o</w:t>
      </w:r>
      <w:r w:rsidRPr="007E2CE2">
        <w:rPr>
          <w:sz w:val="22"/>
          <w:szCs w:val="22"/>
        </w:rPr>
        <w:t>ut</w:t>
      </w:r>
    </w:p>
    <w:p w14:paraId="5E61C83A" w14:textId="1E63A3C0" w:rsidR="003E5CD0" w:rsidRDefault="003E5CD0">
      <w:pPr>
        <w:pStyle w:val="RulesNotesection"/>
        <w:tabs>
          <w:tab w:val="left" w:pos="720"/>
          <w:tab w:val="left" w:pos="1440"/>
          <w:tab w:val="left" w:pos="1800"/>
          <w:tab w:val="left" w:pos="2160"/>
          <w:tab w:val="left" w:pos="2520"/>
          <w:tab w:val="left" w:pos="2880"/>
          <w:tab w:val="left" w:pos="3240"/>
        </w:tabs>
        <w:ind w:firstLine="0"/>
        <w:jc w:val="left"/>
        <w:rPr>
          <w:szCs w:val="22"/>
        </w:rPr>
      </w:pPr>
    </w:p>
    <w:p w14:paraId="2B2FA16A" w14:textId="2092382F" w:rsidR="000F2671" w:rsidRDefault="000F2671">
      <w:pPr>
        <w:pStyle w:val="RulesNotesection"/>
        <w:tabs>
          <w:tab w:val="left" w:pos="720"/>
          <w:tab w:val="left" w:pos="1440"/>
          <w:tab w:val="left" w:pos="1800"/>
          <w:tab w:val="left" w:pos="2160"/>
          <w:tab w:val="left" w:pos="2520"/>
          <w:tab w:val="left" w:pos="2880"/>
          <w:tab w:val="left" w:pos="3240"/>
        </w:tabs>
        <w:ind w:firstLine="0"/>
        <w:jc w:val="left"/>
        <w:rPr>
          <w:szCs w:val="22"/>
        </w:rPr>
      </w:pPr>
      <w:r>
        <w:rPr>
          <w:szCs w:val="22"/>
        </w:rPr>
        <w:t xml:space="preserve">RTOs and RCOs that were initially designed, constructed, and permitted to </w:t>
      </w:r>
      <w:r w:rsidR="003C315B">
        <w:rPr>
          <w:szCs w:val="22"/>
        </w:rPr>
        <w:t>allow for</w:t>
      </w:r>
      <w:r>
        <w:rPr>
          <w:szCs w:val="22"/>
        </w:rPr>
        <w:t xml:space="preserve"> a bake-out as a routine maintenance activity </w:t>
      </w:r>
      <w:r w:rsidR="007E2CE2">
        <w:rPr>
          <w:szCs w:val="22"/>
        </w:rPr>
        <w:t>must meet the applicable normal operating visible emissions standard in Section 4(A)(6) or</w:t>
      </w:r>
      <w:r>
        <w:rPr>
          <w:szCs w:val="22"/>
        </w:rPr>
        <w:t xml:space="preserve"> the following work practice standards during periods of bake-out. </w:t>
      </w:r>
    </w:p>
    <w:p w14:paraId="777AAAB6" w14:textId="77777777" w:rsidR="00850F58" w:rsidRDefault="00850F58">
      <w:pPr>
        <w:pStyle w:val="RulesNotesection"/>
        <w:tabs>
          <w:tab w:val="left" w:pos="720"/>
          <w:tab w:val="left" w:pos="1440"/>
          <w:tab w:val="left" w:pos="1800"/>
          <w:tab w:val="left" w:pos="2160"/>
          <w:tab w:val="left" w:pos="2520"/>
          <w:tab w:val="left" w:pos="2880"/>
          <w:tab w:val="left" w:pos="3240"/>
        </w:tabs>
        <w:ind w:firstLine="0"/>
        <w:jc w:val="left"/>
        <w:rPr>
          <w:szCs w:val="22"/>
        </w:rPr>
      </w:pPr>
    </w:p>
    <w:p w14:paraId="37F40BC4" w14:textId="77BD5C66" w:rsidR="00850F58" w:rsidRDefault="004C532F" w:rsidP="00B234C7">
      <w:pPr>
        <w:pStyle w:val="RulesNotesection"/>
        <w:numPr>
          <w:ilvl w:val="0"/>
          <w:numId w:val="11"/>
        </w:numPr>
        <w:tabs>
          <w:tab w:val="left" w:pos="720"/>
          <w:tab w:val="left" w:pos="1440"/>
          <w:tab w:val="left" w:pos="1800"/>
          <w:tab w:val="left" w:pos="2160"/>
          <w:tab w:val="left" w:pos="2520"/>
          <w:tab w:val="left" w:pos="2880"/>
          <w:tab w:val="left" w:pos="3240"/>
        </w:tabs>
        <w:jc w:val="left"/>
        <w:rPr>
          <w:szCs w:val="22"/>
        </w:rPr>
      </w:pPr>
      <w:r w:rsidRPr="00236C4D">
        <w:rPr>
          <w:szCs w:val="22"/>
        </w:rPr>
        <w:t xml:space="preserve">The owner or operator shall keep records </w:t>
      </w:r>
      <w:r w:rsidR="0047719E">
        <w:rPr>
          <w:szCs w:val="22"/>
        </w:rPr>
        <w:t xml:space="preserve">as specified </w:t>
      </w:r>
      <w:r w:rsidRPr="00236C4D">
        <w:rPr>
          <w:szCs w:val="22"/>
        </w:rPr>
        <w:t xml:space="preserve">in Section 6 of this </w:t>
      </w:r>
      <w:r w:rsidR="00FA2C7F">
        <w:rPr>
          <w:szCs w:val="22"/>
        </w:rPr>
        <w:t>C</w:t>
      </w:r>
      <w:r w:rsidRPr="00236C4D">
        <w:rPr>
          <w:szCs w:val="22"/>
        </w:rPr>
        <w:t>hapter</w:t>
      </w:r>
      <w:r w:rsidR="00850F58">
        <w:rPr>
          <w:szCs w:val="22"/>
        </w:rPr>
        <w:t>;</w:t>
      </w:r>
    </w:p>
    <w:p w14:paraId="28743D97" w14:textId="77777777" w:rsidR="00850F58" w:rsidRDefault="00850F58">
      <w:pPr>
        <w:pStyle w:val="RulesNotesection"/>
        <w:tabs>
          <w:tab w:val="left" w:pos="720"/>
          <w:tab w:val="left" w:pos="1440"/>
          <w:tab w:val="left" w:pos="1800"/>
          <w:tab w:val="left" w:pos="2160"/>
          <w:tab w:val="left" w:pos="2520"/>
          <w:tab w:val="left" w:pos="2880"/>
          <w:tab w:val="left" w:pos="3240"/>
        </w:tabs>
        <w:ind w:left="1080" w:firstLine="0"/>
        <w:jc w:val="left"/>
        <w:rPr>
          <w:szCs w:val="22"/>
        </w:rPr>
      </w:pPr>
    </w:p>
    <w:p w14:paraId="0E6B861A" w14:textId="158E43DD" w:rsidR="00850F58" w:rsidRDefault="003C315B" w:rsidP="00B234C7">
      <w:pPr>
        <w:pStyle w:val="RulesNotesection"/>
        <w:numPr>
          <w:ilvl w:val="0"/>
          <w:numId w:val="11"/>
        </w:numPr>
        <w:tabs>
          <w:tab w:val="left" w:pos="720"/>
          <w:tab w:val="left" w:pos="1440"/>
          <w:tab w:val="left" w:pos="1800"/>
          <w:tab w:val="left" w:pos="2160"/>
          <w:tab w:val="left" w:pos="2520"/>
          <w:tab w:val="left" w:pos="2880"/>
          <w:tab w:val="left" w:pos="3240"/>
        </w:tabs>
        <w:jc w:val="left"/>
        <w:rPr>
          <w:szCs w:val="22"/>
        </w:rPr>
      </w:pPr>
      <w:r>
        <w:rPr>
          <w:szCs w:val="22"/>
        </w:rPr>
        <w:t>B</w:t>
      </w:r>
      <w:r w:rsidR="00850F58">
        <w:rPr>
          <w:szCs w:val="22"/>
        </w:rPr>
        <w:t xml:space="preserve">ake-out </w:t>
      </w:r>
      <w:r>
        <w:rPr>
          <w:szCs w:val="22"/>
        </w:rPr>
        <w:t xml:space="preserve">events </w:t>
      </w:r>
      <w:r w:rsidR="00850F58">
        <w:rPr>
          <w:szCs w:val="22"/>
        </w:rPr>
        <w:t xml:space="preserve">shall not occur more frequently than </w:t>
      </w:r>
      <w:r w:rsidR="008849D6">
        <w:rPr>
          <w:szCs w:val="22"/>
        </w:rPr>
        <w:t>six times per calendar year</w:t>
      </w:r>
      <w:r w:rsidR="00850F58">
        <w:rPr>
          <w:szCs w:val="22"/>
        </w:rPr>
        <w:t>;</w:t>
      </w:r>
    </w:p>
    <w:p w14:paraId="4E04486B" w14:textId="77777777" w:rsidR="00850F58" w:rsidRDefault="00850F58">
      <w:pPr>
        <w:pStyle w:val="ListParagraph"/>
        <w:rPr>
          <w:szCs w:val="22"/>
        </w:rPr>
      </w:pPr>
    </w:p>
    <w:p w14:paraId="155B1AD3" w14:textId="58F125CE" w:rsidR="00850F58" w:rsidRDefault="00850F58" w:rsidP="00B234C7">
      <w:pPr>
        <w:pStyle w:val="RulesNotesection"/>
        <w:numPr>
          <w:ilvl w:val="0"/>
          <w:numId w:val="11"/>
        </w:numPr>
        <w:tabs>
          <w:tab w:val="left" w:pos="720"/>
          <w:tab w:val="left" w:pos="1440"/>
          <w:tab w:val="left" w:pos="1800"/>
          <w:tab w:val="left" w:pos="2160"/>
          <w:tab w:val="left" w:pos="2520"/>
          <w:tab w:val="left" w:pos="2880"/>
          <w:tab w:val="left" w:pos="3240"/>
        </w:tabs>
        <w:jc w:val="left"/>
        <w:rPr>
          <w:szCs w:val="22"/>
        </w:rPr>
      </w:pPr>
      <w:r>
        <w:rPr>
          <w:szCs w:val="22"/>
        </w:rPr>
        <w:t>Once the RTO or RCO chamber is at temperature for bake-out to begin, the duration of each bake-out event shall not exceed three hours; and</w:t>
      </w:r>
    </w:p>
    <w:p w14:paraId="6320BDFB" w14:textId="77777777" w:rsidR="00850F58" w:rsidRDefault="00850F58">
      <w:pPr>
        <w:pStyle w:val="RulesNotesection"/>
        <w:tabs>
          <w:tab w:val="left" w:pos="720"/>
          <w:tab w:val="left" w:pos="1440"/>
          <w:tab w:val="left" w:pos="1800"/>
          <w:tab w:val="left" w:pos="2160"/>
          <w:tab w:val="left" w:pos="2520"/>
          <w:tab w:val="left" w:pos="2880"/>
          <w:tab w:val="left" w:pos="3240"/>
        </w:tabs>
        <w:ind w:left="1080" w:firstLine="0"/>
        <w:jc w:val="left"/>
        <w:rPr>
          <w:szCs w:val="22"/>
        </w:rPr>
      </w:pPr>
    </w:p>
    <w:p w14:paraId="7A254243" w14:textId="61101F24" w:rsidR="00850F58" w:rsidRPr="00BE136A" w:rsidRDefault="003C315B" w:rsidP="00B234C7">
      <w:pPr>
        <w:pStyle w:val="RulesNotesection"/>
        <w:numPr>
          <w:ilvl w:val="0"/>
          <w:numId w:val="11"/>
        </w:numPr>
        <w:tabs>
          <w:tab w:val="left" w:pos="720"/>
          <w:tab w:val="left" w:pos="1440"/>
          <w:tab w:val="left" w:pos="1800"/>
          <w:tab w:val="left" w:pos="2160"/>
          <w:tab w:val="left" w:pos="2520"/>
          <w:tab w:val="left" w:pos="2880"/>
          <w:tab w:val="left" w:pos="3240"/>
        </w:tabs>
        <w:jc w:val="left"/>
        <w:rPr>
          <w:szCs w:val="22"/>
        </w:rPr>
      </w:pPr>
      <w:r>
        <w:rPr>
          <w:szCs w:val="22"/>
        </w:rPr>
        <w:t>During the bake-out event, v</w:t>
      </w:r>
      <w:r w:rsidR="00850F58">
        <w:rPr>
          <w:szCs w:val="22"/>
        </w:rPr>
        <w:t xml:space="preserve">isible emissions shall not exceed </w:t>
      </w:r>
      <w:r w:rsidR="007E2CE2">
        <w:rPr>
          <w:szCs w:val="22"/>
        </w:rPr>
        <w:t>60</w:t>
      </w:r>
      <w:r w:rsidR="00A90ACB">
        <w:rPr>
          <w:szCs w:val="22"/>
        </w:rPr>
        <w:t xml:space="preserve"> percent opacity</w:t>
      </w:r>
      <w:r w:rsidR="00850F58">
        <w:rPr>
          <w:szCs w:val="22"/>
        </w:rPr>
        <w:t xml:space="preserve"> on a six (6) minute block average basis.</w:t>
      </w:r>
    </w:p>
    <w:p w14:paraId="1728C3D6" w14:textId="11ED9BC6" w:rsidR="007E2CE2" w:rsidRDefault="007E2CE2">
      <w:pPr>
        <w:pStyle w:val="RulesNotesection"/>
        <w:tabs>
          <w:tab w:val="left" w:pos="720"/>
          <w:tab w:val="left" w:pos="1440"/>
          <w:tab w:val="left" w:pos="1800"/>
          <w:tab w:val="left" w:pos="2160"/>
          <w:tab w:val="left" w:pos="2520"/>
          <w:tab w:val="left" w:pos="2880"/>
          <w:tab w:val="left" w:pos="3240"/>
        </w:tabs>
        <w:ind w:firstLine="0"/>
        <w:jc w:val="left"/>
        <w:rPr>
          <w:szCs w:val="22"/>
        </w:rPr>
      </w:pPr>
    </w:p>
    <w:p w14:paraId="65DB117F" w14:textId="3EF5FD13" w:rsidR="007E2CE2" w:rsidRPr="007E2CE2" w:rsidRDefault="007E2CE2" w:rsidP="00B234C7">
      <w:pPr>
        <w:pStyle w:val="Heading2"/>
      </w:pPr>
      <w:r w:rsidRPr="007E2CE2">
        <w:t>R</w:t>
      </w:r>
      <w:r>
        <w:t>eserved</w:t>
      </w:r>
      <w:r w:rsidR="004D7F2A">
        <w:t>.</w:t>
      </w:r>
    </w:p>
    <w:p w14:paraId="3736CA59" w14:textId="77777777" w:rsidR="00F641A0" w:rsidRDefault="00F641A0">
      <w:pPr>
        <w:pStyle w:val="RulesNotesection"/>
        <w:tabs>
          <w:tab w:val="left" w:pos="720"/>
          <w:tab w:val="left" w:pos="1440"/>
          <w:tab w:val="left" w:pos="1800"/>
          <w:tab w:val="left" w:pos="2160"/>
          <w:tab w:val="left" w:pos="2520"/>
          <w:tab w:val="left" w:pos="2880"/>
          <w:tab w:val="left" w:pos="3240"/>
        </w:tabs>
        <w:ind w:firstLine="0"/>
        <w:jc w:val="left"/>
        <w:rPr>
          <w:szCs w:val="22"/>
        </w:rPr>
      </w:pPr>
    </w:p>
    <w:p w14:paraId="39DF77B1" w14:textId="74575C0F" w:rsidR="000235C3" w:rsidRDefault="000235C3" w:rsidP="00B234C7">
      <w:pPr>
        <w:pStyle w:val="Heading1"/>
        <w:jc w:val="left"/>
      </w:pPr>
      <w:r>
        <w:t>Recordkeeping</w:t>
      </w:r>
    </w:p>
    <w:p w14:paraId="434883A1" w14:textId="7BAFBD2D" w:rsidR="001F46E6" w:rsidRDefault="001F46E6">
      <w:pPr>
        <w:pStyle w:val="RulesNotesection"/>
        <w:tabs>
          <w:tab w:val="left" w:pos="720"/>
          <w:tab w:val="left" w:pos="1440"/>
          <w:tab w:val="left" w:pos="1800"/>
          <w:tab w:val="left" w:pos="2160"/>
          <w:tab w:val="left" w:pos="2520"/>
          <w:tab w:val="left" w:pos="2880"/>
          <w:tab w:val="left" w:pos="3240"/>
        </w:tabs>
        <w:ind w:left="360" w:firstLine="0"/>
        <w:jc w:val="left"/>
        <w:rPr>
          <w:szCs w:val="22"/>
        </w:rPr>
      </w:pPr>
    </w:p>
    <w:p w14:paraId="1FF950A0" w14:textId="0DCE3235" w:rsidR="000235C3" w:rsidRDefault="000235C3">
      <w:pPr>
        <w:pStyle w:val="RulesNotesection"/>
        <w:tabs>
          <w:tab w:val="left" w:pos="720"/>
          <w:tab w:val="left" w:pos="1440"/>
          <w:tab w:val="left" w:pos="1800"/>
          <w:tab w:val="left" w:pos="2160"/>
          <w:tab w:val="left" w:pos="2520"/>
          <w:tab w:val="left" w:pos="2880"/>
          <w:tab w:val="left" w:pos="3240"/>
        </w:tabs>
        <w:ind w:left="360" w:firstLine="0"/>
        <w:jc w:val="left"/>
        <w:rPr>
          <w:szCs w:val="22"/>
        </w:rPr>
      </w:pPr>
      <w:r>
        <w:rPr>
          <w:szCs w:val="22"/>
        </w:rPr>
        <w:t xml:space="preserve">Whenever an owner or operator elects to comply with an alternative emission standard or work practice standards for periods of startup, shutdown, malfunction, or equipment maintenance, the owner or operator shall keep records </w:t>
      </w:r>
      <w:r w:rsidR="008849D6">
        <w:rPr>
          <w:szCs w:val="22"/>
        </w:rPr>
        <w:t xml:space="preserve">sufficient to document </w:t>
      </w:r>
      <w:r>
        <w:rPr>
          <w:szCs w:val="22"/>
        </w:rPr>
        <w:t>the date, time, and duration of each event. These records shall be maintained for at least six years and provided to the Department upon request.</w:t>
      </w:r>
    </w:p>
    <w:p w14:paraId="71EAEEC5" w14:textId="17AF2E19" w:rsidR="007504E9" w:rsidRDefault="007504E9">
      <w:pPr>
        <w:rPr>
          <w:sz w:val="22"/>
          <w:szCs w:val="22"/>
        </w:rPr>
      </w:pPr>
    </w:p>
    <w:p w14:paraId="368839CB" w14:textId="1DC87788" w:rsidR="00A27665" w:rsidRDefault="00A27665">
      <w:pPr>
        <w:rPr>
          <w:sz w:val="22"/>
          <w:szCs w:val="22"/>
        </w:rPr>
      </w:pPr>
    </w:p>
    <w:p w14:paraId="2E9E6B62" w14:textId="77777777" w:rsidR="00602FC3" w:rsidRDefault="00602FC3">
      <w:pPr>
        <w:rPr>
          <w:sz w:val="22"/>
          <w:szCs w:val="22"/>
        </w:rPr>
      </w:pPr>
    </w:p>
    <w:p w14:paraId="55CAFD7D" w14:textId="77777777" w:rsidR="001F46E6" w:rsidRDefault="001F46E6">
      <w:pPr>
        <w:pStyle w:val="BodyTextIndent"/>
        <w:pBdr>
          <w:bottom w:val="single" w:sz="4" w:space="1" w:color="auto"/>
        </w:pBdr>
        <w:tabs>
          <w:tab w:val="clear" w:pos="1080"/>
          <w:tab w:val="left" w:pos="3600"/>
          <w:tab w:val="left" w:pos="3960"/>
          <w:tab w:val="left" w:pos="4320"/>
        </w:tabs>
        <w:spacing w:line="240" w:lineRule="atLeast"/>
        <w:ind w:left="360" w:firstLine="0"/>
        <w:jc w:val="left"/>
        <w:rPr>
          <w:szCs w:val="22"/>
        </w:rPr>
      </w:pPr>
    </w:p>
    <w:p w14:paraId="5E61C849" w14:textId="77777777" w:rsidR="0062631C" w:rsidRPr="00BE136A" w:rsidRDefault="0062631C">
      <w:pPr>
        <w:pStyle w:val="RulesBasisStatement"/>
        <w:tabs>
          <w:tab w:val="left" w:pos="360"/>
          <w:tab w:val="left" w:pos="720"/>
          <w:tab w:val="left" w:pos="1080"/>
          <w:tab w:val="left" w:pos="1440"/>
          <w:tab w:val="left" w:pos="1800"/>
          <w:tab w:val="left" w:pos="2160"/>
          <w:tab w:val="left" w:pos="2520"/>
          <w:tab w:val="left" w:pos="2880"/>
          <w:tab w:val="left" w:pos="3240"/>
        </w:tabs>
        <w:rPr>
          <w:szCs w:val="22"/>
        </w:rPr>
      </w:pPr>
      <w:bookmarkStart w:id="16" w:name="_Hlk128054272"/>
    </w:p>
    <w:p w14:paraId="5E61C84A" w14:textId="77777777" w:rsidR="0062631C" w:rsidRPr="00BE136A" w:rsidRDefault="0062631C">
      <w:pPr>
        <w:tabs>
          <w:tab w:val="left" w:pos="360"/>
          <w:tab w:val="left" w:pos="720"/>
          <w:tab w:val="left" w:pos="1080"/>
          <w:tab w:val="left" w:pos="1440"/>
          <w:tab w:val="left" w:pos="1800"/>
          <w:tab w:val="left" w:pos="2160"/>
          <w:tab w:val="left" w:pos="2520"/>
          <w:tab w:val="left" w:pos="2880"/>
          <w:tab w:val="left" w:pos="3240"/>
        </w:tabs>
        <w:jc w:val="both"/>
        <w:rPr>
          <w:sz w:val="22"/>
          <w:szCs w:val="22"/>
        </w:rPr>
      </w:pPr>
    </w:p>
    <w:p w14:paraId="5E61C84B" w14:textId="77777777" w:rsidR="0062631C" w:rsidRPr="00BE136A" w:rsidRDefault="0062631C">
      <w:pPr>
        <w:pStyle w:val="RulesAuthorityEffec"/>
        <w:rPr>
          <w:szCs w:val="22"/>
        </w:rPr>
      </w:pPr>
    </w:p>
    <w:p w14:paraId="5E61C84C" w14:textId="4F1443D4" w:rsidR="00742CAA" w:rsidRPr="00BE136A" w:rsidRDefault="00742CAA">
      <w:pPr>
        <w:ind w:left="4320" w:hanging="2160"/>
        <w:jc w:val="both"/>
        <w:rPr>
          <w:sz w:val="22"/>
          <w:szCs w:val="22"/>
        </w:rPr>
      </w:pPr>
      <w:r w:rsidRPr="00BE136A">
        <w:rPr>
          <w:sz w:val="22"/>
          <w:szCs w:val="22"/>
        </w:rPr>
        <w:t>AUTHORITY:</w:t>
      </w:r>
      <w:r w:rsidRPr="00BE136A">
        <w:rPr>
          <w:sz w:val="22"/>
          <w:szCs w:val="22"/>
        </w:rPr>
        <w:tab/>
        <w:t>38 M.R.S., Section</w:t>
      </w:r>
      <w:r w:rsidR="00542F22">
        <w:rPr>
          <w:sz w:val="22"/>
          <w:szCs w:val="22"/>
        </w:rPr>
        <w:t>s</w:t>
      </w:r>
      <w:r w:rsidRPr="00BE136A">
        <w:rPr>
          <w:sz w:val="22"/>
          <w:szCs w:val="22"/>
        </w:rPr>
        <w:t xml:space="preserve"> 585</w:t>
      </w:r>
      <w:r w:rsidR="00542F22">
        <w:rPr>
          <w:sz w:val="22"/>
          <w:szCs w:val="22"/>
        </w:rPr>
        <w:t xml:space="preserve"> and 585-A</w:t>
      </w:r>
    </w:p>
    <w:p w14:paraId="5E61C84D" w14:textId="77777777" w:rsidR="00742CAA" w:rsidRPr="00BE136A" w:rsidRDefault="00742CAA">
      <w:pPr>
        <w:ind w:left="4320" w:hanging="2160"/>
        <w:jc w:val="both"/>
        <w:rPr>
          <w:sz w:val="22"/>
          <w:szCs w:val="22"/>
        </w:rPr>
      </w:pPr>
    </w:p>
    <w:p w14:paraId="5E61C84E" w14:textId="77777777" w:rsidR="00742CAA" w:rsidRPr="00BE136A" w:rsidRDefault="00742CAA">
      <w:pPr>
        <w:ind w:left="4320" w:hanging="2160"/>
        <w:jc w:val="both"/>
        <w:rPr>
          <w:sz w:val="22"/>
          <w:szCs w:val="22"/>
        </w:rPr>
      </w:pPr>
      <w:r w:rsidRPr="00BE136A">
        <w:rPr>
          <w:sz w:val="22"/>
          <w:szCs w:val="22"/>
        </w:rPr>
        <w:t>EFFECTIVE DATE:</w:t>
      </w:r>
      <w:r w:rsidRPr="00BE136A">
        <w:rPr>
          <w:sz w:val="22"/>
          <w:szCs w:val="22"/>
        </w:rPr>
        <w:tab/>
        <w:t>January 31, 1972</w:t>
      </w:r>
    </w:p>
    <w:p w14:paraId="5E61C84F" w14:textId="77777777" w:rsidR="00742CAA" w:rsidRPr="00BE136A" w:rsidRDefault="00742CAA">
      <w:pPr>
        <w:ind w:left="4320" w:hanging="2160"/>
        <w:jc w:val="both"/>
        <w:rPr>
          <w:sz w:val="22"/>
          <w:szCs w:val="22"/>
        </w:rPr>
      </w:pPr>
      <w:r w:rsidRPr="00BE136A">
        <w:rPr>
          <w:sz w:val="22"/>
          <w:szCs w:val="22"/>
        </w:rPr>
        <w:tab/>
        <w:t>Amended: October 10, 1979</w:t>
      </w:r>
    </w:p>
    <w:p w14:paraId="5E61C850" w14:textId="77777777" w:rsidR="00742CAA" w:rsidRPr="00BE136A" w:rsidRDefault="00742CAA">
      <w:pPr>
        <w:ind w:left="4320" w:hanging="2160"/>
        <w:jc w:val="both"/>
        <w:rPr>
          <w:sz w:val="22"/>
          <w:szCs w:val="22"/>
        </w:rPr>
      </w:pPr>
      <w:r w:rsidRPr="00BE136A">
        <w:rPr>
          <w:sz w:val="22"/>
          <w:szCs w:val="22"/>
        </w:rPr>
        <w:tab/>
        <w:t>Amended: December 26, l979</w:t>
      </w:r>
    </w:p>
    <w:p w14:paraId="5E61C851" w14:textId="77777777" w:rsidR="00742CAA" w:rsidRPr="00BE136A" w:rsidRDefault="00742CAA">
      <w:pPr>
        <w:ind w:left="4320" w:hanging="2160"/>
        <w:jc w:val="both"/>
        <w:rPr>
          <w:sz w:val="22"/>
          <w:szCs w:val="22"/>
        </w:rPr>
      </w:pPr>
      <w:r w:rsidRPr="00BE136A">
        <w:rPr>
          <w:sz w:val="22"/>
          <w:szCs w:val="22"/>
        </w:rPr>
        <w:tab/>
        <w:t>Amended: October 14, 1980</w:t>
      </w:r>
    </w:p>
    <w:p w14:paraId="5E61C852" w14:textId="77777777" w:rsidR="00742CAA" w:rsidRPr="00BE136A" w:rsidRDefault="00742CAA">
      <w:pPr>
        <w:ind w:left="4320" w:hanging="2160"/>
        <w:jc w:val="both"/>
        <w:rPr>
          <w:sz w:val="22"/>
          <w:szCs w:val="22"/>
        </w:rPr>
      </w:pPr>
      <w:r w:rsidRPr="00BE136A">
        <w:rPr>
          <w:sz w:val="22"/>
          <w:szCs w:val="22"/>
        </w:rPr>
        <w:tab/>
        <w:t>Amended: November 3, 1990</w:t>
      </w:r>
    </w:p>
    <w:p w14:paraId="5E61C853" w14:textId="77777777" w:rsidR="00742CAA" w:rsidRPr="00BE136A" w:rsidRDefault="00742CAA">
      <w:pPr>
        <w:ind w:left="4320" w:hanging="2160"/>
        <w:jc w:val="both"/>
        <w:rPr>
          <w:sz w:val="22"/>
          <w:szCs w:val="22"/>
        </w:rPr>
      </w:pPr>
    </w:p>
    <w:p w14:paraId="5E61C854" w14:textId="77777777" w:rsidR="00742CAA" w:rsidRPr="00BE136A" w:rsidRDefault="00742CAA">
      <w:pPr>
        <w:jc w:val="center"/>
        <w:rPr>
          <w:sz w:val="22"/>
          <w:szCs w:val="22"/>
        </w:rPr>
      </w:pPr>
      <w:r w:rsidRPr="00BE136A">
        <w:rPr>
          <w:sz w:val="22"/>
          <w:szCs w:val="22"/>
        </w:rPr>
        <w:lastRenderedPageBreak/>
        <w:t>EFFECTIVE DATE (ELECTRONIC CONVERSION): May 8, 1996</w:t>
      </w:r>
    </w:p>
    <w:p w14:paraId="5E61C855" w14:textId="77777777" w:rsidR="00742CAA" w:rsidRPr="00BE136A" w:rsidRDefault="00742CAA">
      <w:pPr>
        <w:ind w:left="4320" w:hanging="2160"/>
        <w:jc w:val="both"/>
        <w:rPr>
          <w:sz w:val="22"/>
          <w:szCs w:val="22"/>
        </w:rPr>
      </w:pPr>
      <w:r w:rsidRPr="00BE136A">
        <w:rPr>
          <w:sz w:val="22"/>
          <w:szCs w:val="22"/>
        </w:rPr>
        <w:tab/>
        <w:t>Repealed and Replaced: May 18, 2003</w:t>
      </w:r>
    </w:p>
    <w:p w14:paraId="5E61C856" w14:textId="77777777" w:rsidR="00742CAA" w:rsidRPr="00BE136A" w:rsidRDefault="00742CAA">
      <w:pPr>
        <w:ind w:left="4320"/>
        <w:jc w:val="both"/>
        <w:rPr>
          <w:sz w:val="22"/>
          <w:szCs w:val="22"/>
        </w:rPr>
      </w:pPr>
      <w:r w:rsidRPr="00BE136A">
        <w:rPr>
          <w:sz w:val="22"/>
          <w:szCs w:val="22"/>
        </w:rPr>
        <w:t xml:space="preserve">Amended: </w:t>
      </w:r>
      <w:r w:rsidR="00EC0736" w:rsidRPr="00BE136A">
        <w:rPr>
          <w:sz w:val="22"/>
          <w:szCs w:val="22"/>
        </w:rPr>
        <w:t>March 10, 2019 – filing 2019-04</w:t>
      </w:r>
      <w:r w:rsidR="007A7677" w:rsidRPr="00BE136A">
        <w:rPr>
          <w:sz w:val="22"/>
          <w:szCs w:val="22"/>
        </w:rPr>
        <w:t>4</w:t>
      </w:r>
    </w:p>
    <w:p w14:paraId="5E61C857" w14:textId="77777777" w:rsidR="0062631C" w:rsidRPr="00BE136A" w:rsidRDefault="00EC0736">
      <w:pPr>
        <w:pStyle w:val="RulesBasisStatement"/>
        <w:tabs>
          <w:tab w:val="left" w:pos="4590"/>
        </w:tabs>
        <w:ind w:left="4590" w:hanging="270"/>
        <w:jc w:val="left"/>
        <w:rPr>
          <w:szCs w:val="22"/>
        </w:rPr>
      </w:pPr>
      <w:r w:rsidRPr="00BE136A">
        <w:rPr>
          <w:szCs w:val="22"/>
        </w:rPr>
        <w:t xml:space="preserve">Corrected: March 21, 2019 </w:t>
      </w:r>
      <w:r w:rsidR="005778BB" w:rsidRPr="00BE136A">
        <w:rPr>
          <w:szCs w:val="22"/>
        </w:rPr>
        <w:t>–</w:t>
      </w:r>
      <w:r w:rsidRPr="00BE136A">
        <w:rPr>
          <w:szCs w:val="22"/>
        </w:rPr>
        <w:t xml:space="preserve"> </w:t>
      </w:r>
      <w:r w:rsidR="005778BB" w:rsidRPr="00BE136A">
        <w:rPr>
          <w:szCs w:val="22"/>
        </w:rPr>
        <w:t>duplicate (7) under §1 sub-§C changed to (8).</w:t>
      </w:r>
    </w:p>
    <w:p w14:paraId="5E61C858" w14:textId="77777777" w:rsidR="0062631C" w:rsidRPr="00BE136A" w:rsidRDefault="0062631C">
      <w:pPr>
        <w:pStyle w:val="RulesBasisStatement"/>
        <w:jc w:val="center"/>
        <w:rPr>
          <w:b/>
          <w:szCs w:val="22"/>
        </w:rPr>
      </w:pPr>
      <w:r w:rsidRPr="00BE136A">
        <w:rPr>
          <w:b/>
          <w:szCs w:val="22"/>
        </w:rPr>
        <w:t>________________________________________________________</w:t>
      </w:r>
    </w:p>
    <w:p w14:paraId="5E61C859" w14:textId="77777777" w:rsidR="0062631C" w:rsidRPr="00BE136A" w:rsidRDefault="0062631C">
      <w:pPr>
        <w:pStyle w:val="RulesBasisStatement"/>
        <w:jc w:val="center"/>
        <w:rPr>
          <w:b/>
          <w:szCs w:val="22"/>
        </w:rPr>
      </w:pPr>
    </w:p>
    <w:bookmarkEnd w:id="16"/>
    <w:p w14:paraId="5E61C85A" w14:textId="52F5BD7E" w:rsidR="0062631C" w:rsidRDefault="001F481F">
      <w:pPr>
        <w:pStyle w:val="RulesBasisStatement"/>
        <w:jc w:val="left"/>
        <w:rPr>
          <w:szCs w:val="22"/>
        </w:rPr>
      </w:pPr>
      <w:r>
        <w:rPr>
          <w:szCs w:val="22"/>
        </w:rPr>
        <w:t>AMENDED:</w:t>
      </w:r>
    </w:p>
    <w:p w14:paraId="3BEEB00E" w14:textId="7ADC4977" w:rsidR="001F481F" w:rsidRPr="00BE136A" w:rsidRDefault="001F481F">
      <w:pPr>
        <w:pStyle w:val="RulesBasisStatement"/>
        <w:jc w:val="left"/>
        <w:rPr>
          <w:szCs w:val="22"/>
        </w:rPr>
      </w:pPr>
      <w:r>
        <w:rPr>
          <w:szCs w:val="22"/>
        </w:rPr>
        <w:tab/>
      </w:r>
      <w:r>
        <w:rPr>
          <w:szCs w:val="22"/>
        </w:rPr>
        <w:tab/>
        <w:t>January 1, 2024 – 2023-230</w:t>
      </w:r>
    </w:p>
    <w:sectPr w:rsidR="001F481F" w:rsidRPr="00BE136A" w:rsidSect="000A39AD">
      <w:headerReference w:type="default" r:id="rId11"/>
      <w:footerReference w:type="default" r:id="rId12"/>
      <w:headerReference w:type="first" r:id="rId13"/>
      <w:pgSz w:w="12240" w:h="15840" w:code="1"/>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C85D" w14:textId="77777777" w:rsidR="00EC0736" w:rsidRDefault="00EC0736">
      <w:r>
        <w:separator/>
      </w:r>
    </w:p>
  </w:endnote>
  <w:endnote w:type="continuationSeparator" w:id="0">
    <w:p w14:paraId="5E61C85E" w14:textId="77777777" w:rsidR="00EC0736" w:rsidRDefault="00EC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C861" w14:textId="77777777" w:rsidR="00EC0736" w:rsidRDefault="00EC0736">
    <w:pPr>
      <w:pStyle w:val="RulesSub-section"/>
    </w:pPr>
  </w:p>
  <w:p w14:paraId="5E61C862" w14:textId="6494DEF9" w:rsidR="00EC0736" w:rsidRDefault="00EC0736">
    <w:pPr>
      <w:pStyle w:val="RulesSub-section"/>
      <w:pBdr>
        <w:top w:val="single" w:sz="6" w:space="2" w:color="auto"/>
      </w:pBdr>
      <w:jc w:val="center"/>
    </w:pPr>
    <w:r>
      <w:t>Chapter 101: Visible Emissions Regulation</w:t>
    </w:r>
  </w:p>
  <w:p w14:paraId="5E61C863" w14:textId="77777777" w:rsidR="00EC0736" w:rsidRDefault="00EC0736">
    <w:pPr>
      <w:pStyle w:val="RulesSub-section"/>
      <w:jc w:val="center"/>
    </w:pPr>
    <w:r>
      <w:t xml:space="preserve">- </w:t>
    </w:r>
    <w:r>
      <w:fldChar w:fldCharType="begin"/>
    </w:r>
    <w:r>
      <w:instrText xml:space="preserve">page </w:instrText>
    </w:r>
    <w:r>
      <w:fldChar w:fldCharType="separate"/>
    </w:r>
    <w:r w:rsidR="007A7677">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C85B" w14:textId="77777777" w:rsidR="00EC0736" w:rsidRDefault="00EC0736">
      <w:r>
        <w:separator/>
      </w:r>
    </w:p>
  </w:footnote>
  <w:footnote w:type="continuationSeparator" w:id="0">
    <w:p w14:paraId="5E61C85C" w14:textId="77777777" w:rsidR="00EC0736" w:rsidRDefault="00EC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C85F" w14:textId="77777777" w:rsidR="00EC0736" w:rsidRDefault="00EC0736" w:rsidP="00355D10">
    <w:pPr>
      <w:pStyle w:val="RulesSub2-division"/>
      <w:tabs>
        <w:tab w:val="center" w:pos="4770"/>
      </w:tabs>
      <w:ind w:left="360"/>
      <w:jc w:val="left"/>
    </w:pPr>
    <w:r>
      <w:t>06</w:t>
    </w:r>
    <w:r>
      <w:noBreakHyphen/>
      <w:t>096</w:t>
    </w:r>
    <w:r>
      <w:tab/>
      <w:t>DEPARTMENT OF ENVIRONMENTAL PROTECTION</w:t>
    </w:r>
  </w:p>
  <w:p w14:paraId="5E61C860" w14:textId="77777777" w:rsidR="00EC0736" w:rsidRDefault="00EC0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C864" w14:textId="77777777" w:rsidR="00EC0736" w:rsidRDefault="00EC0736" w:rsidP="009A6541">
    <w:pPr>
      <w:pStyle w:val="RulesSub2-division"/>
      <w:tabs>
        <w:tab w:val="center" w:pos="4770"/>
      </w:tabs>
      <w:ind w:left="0" w:firstLine="0"/>
      <w:jc w:val="left"/>
    </w:pPr>
    <w:r>
      <w:t>06</w:t>
    </w:r>
    <w:r>
      <w:noBreakHyphen/>
      <w:t>096</w:t>
    </w:r>
    <w:r>
      <w:tab/>
      <w:t>DEPARTMENT OF ENVIRONMENTAL PROTECTION</w:t>
    </w:r>
  </w:p>
  <w:p w14:paraId="5E61C865" w14:textId="77777777" w:rsidR="00EC0736" w:rsidRPr="003E5CD0" w:rsidRDefault="00EC0736" w:rsidP="003E5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E31"/>
    <w:multiLevelType w:val="hybridMultilevel"/>
    <w:tmpl w:val="C24EC19A"/>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7C5F23"/>
    <w:multiLevelType w:val="hybridMultilevel"/>
    <w:tmpl w:val="0BB0BECC"/>
    <w:lvl w:ilvl="0" w:tplc="089210CA">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851F5"/>
    <w:multiLevelType w:val="hybridMultilevel"/>
    <w:tmpl w:val="25C2000E"/>
    <w:lvl w:ilvl="0" w:tplc="FFFFFFFF">
      <w:start w:val="1"/>
      <w:numFmt w:val="lowerLetter"/>
      <w:lvlText w:val="(%1)"/>
      <w:lvlJc w:val="left"/>
      <w:pPr>
        <w:ind w:left="1440" w:hanging="360"/>
      </w:pPr>
      <w:rPr>
        <w:rFonts w:hint="default"/>
        <w:b w:val="0"/>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BC3169"/>
    <w:multiLevelType w:val="hybridMultilevel"/>
    <w:tmpl w:val="D90AD9F2"/>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1943"/>
    <w:multiLevelType w:val="hybridMultilevel"/>
    <w:tmpl w:val="A0AEA0EC"/>
    <w:lvl w:ilvl="0" w:tplc="0630D8B4">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C2058B"/>
    <w:multiLevelType w:val="hybridMultilevel"/>
    <w:tmpl w:val="25C2000E"/>
    <w:lvl w:ilvl="0" w:tplc="80083E76">
      <w:start w:val="1"/>
      <w:numFmt w:val="lowerLetter"/>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2B2D8B"/>
    <w:multiLevelType w:val="hybridMultilevel"/>
    <w:tmpl w:val="BCE29FB8"/>
    <w:lvl w:ilvl="0" w:tplc="48844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A0D6860"/>
    <w:multiLevelType w:val="hybridMultilevel"/>
    <w:tmpl w:val="DEB8F96C"/>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67DC2"/>
    <w:multiLevelType w:val="hybridMultilevel"/>
    <w:tmpl w:val="FC7A88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1CE6313"/>
    <w:multiLevelType w:val="hybridMultilevel"/>
    <w:tmpl w:val="948094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865320A"/>
    <w:multiLevelType w:val="hybridMultilevel"/>
    <w:tmpl w:val="C608AE50"/>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002585"/>
    <w:multiLevelType w:val="hybridMultilevel"/>
    <w:tmpl w:val="4A1C8CE0"/>
    <w:lvl w:ilvl="0" w:tplc="488447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0F22E4"/>
    <w:multiLevelType w:val="hybridMultilevel"/>
    <w:tmpl w:val="409AA5EC"/>
    <w:lvl w:ilvl="0" w:tplc="29CA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7729C"/>
    <w:multiLevelType w:val="hybridMultilevel"/>
    <w:tmpl w:val="301CF33C"/>
    <w:lvl w:ilvl="0" w:tplc="48844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5CA0E40"/>
    <w:multiLevelType w:val="hybridMultilevel"/>
    <w:tmpl w:val="DEAC0766"/>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8051DBB"/>
    <w:multiLevelType w:val="hybridMultilevel"/>
    <w:tmpl w:val="2DD6D9A6"/>
    <w:lvl w:ilvl="0" w:tplc="04090015">
      <w:start w:val="1"/>
      <w:numFmt w:val="upperLetter"/>
      <w:lvlText w:val="%1."/>
      <w:lvlJc w:val="left"/>
      <w:pPr>
        <w:ind w:left="1080" w:hanging="360"/>
      </w:pPr>
      <w:rPr>
        <w:rFonts w:hint="default"/>
      </w:rPr>
    </w:lvl>
    <w:lvl w:ilvl="1" w:tplc="FBFC7C32">
      <w:start w:val="1"/>
      <w:numFmt w:val="decimal"/>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B194A"/>
    <w:multiLevelType w:val="hybridMultilevel"/>
    <w:tmpl w:val="CC822C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24D2D30"/>
    <w:multiLevelType w:val="hybridMultilevel"/>
    <w:tmpl w:val="F1AAB280"/>
    <w:lvl w:ilvl="0" w:tplc="77E89B92">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B26AD1"/>
    <w:multiLevelType w:val="hybridMultilevel"/>
    <w:tmpl w:val="02DCF9CC"/>
    <w:lvl w:ilvl="0" w:tplc="92601A7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773F2A"/>
    <w:multiLevelType w:val="hybridMultilevel"/>
    <w:tmpl w:val="5170C31E"/>
    <w:lvl w:ilvl="0" w:tplc="F7089254">
      <w:start w:val="1"/>
      <w:numFmt w:val="upperLetter"/>
      <w:pStyle w:val="Heading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F61C3"/>
    <w:multiLevelType w:val="hybridMultilevel"/>
    <w:tmpl w:val="25C2000E"/>
    <w:lvl w:ilvl="0" w:tplc="FFFFFFFF">
      <w:start w:val="1"/>
      <w:numFmt w:val="lowerLetter"/>
      <w:lvlText w:val="(%1)"/>
      <w:lvlJc w:val="left"/>
      <w:pPr>
        <w:ind w:left="1440" w:hanging="360"/>
      </w:pPr>
      <w:rPr>
        <w:rFonts w:hint="default"/>
        <w:b w:val="0"/>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2FE7B66"/>
    <w:multiLevelType w:val="hybridMultilevel"/>
    <w:tmpl w:val="A79A41AE"/>
    <w:lvl w:ilvl="0" w:tplc="E38E488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17640851">
    <w:abstractNumId w:val="5"/>
  </w:num>
  <w:num w:numId="2" w16cid:durableId="1328169134">
    <w:abstractNumId w:val="12"/>
  </w:num>
  <w:num w:numId="3" w16cid:durableId="370156602">
    <w:abstractNumId w:val="4"/>
  </w:num>
  <w:num w:numId="4" w16cid:durableId="1691491165">
    <w:abstractNumId w:val="7"/>
  </w:num>
  <w:num w:numId="5" w16cid:durableId="1621498416">
    <w:abstractNumId w:val="19"/>
    <w:lvlOverride w:ilvl="0">
      <w:startOverride w:val="1"/>
    </w:lvlOverride>
  </w:num>
  <w:num w:numId="6" w16cid:durableId="1711107099">
    <w:abstractNumId w:val="17"/>
  </w:num>
  <w:num w:numId="7" w16cid:durableId="1042053254">
    <w:abstractNumId w:val="11"/>
  </w:num>
  <w:num w:numId="8" w16cid:durableId="378434279">
    <w:abstractNumId w:val="8"/>
  </w:num>
  <w:num w:numId="9" w16cid:durableId="1648978057">
    <w:abstractNumId w:val="19"/>
    <w:lvlOverride w:ilvl="0">
      <w:startOverride w:val="1"/>
    </w:lvlOverride>
  </w:num>
  <w:num w:numId="10" w16cid:durableId="455682462">
    <w:abstractNumId w:val="15"/>
  </w:num>
  <w:num w:numId="11" w16cid:durableId="1629358919">
    <w:abstractNumId w:val="9"/>
  </w:num>
  <w:num w:numId="12" w16cid:durableId="914895863">
    <w:abstractNumId w:val="1"/>
  </w:num>
  <w:num w:numId="13" w16cid:durableId="1019890110">
    <w:abstractNumId w:val="10"/>
  </w:num>
  <w:num w:numId="14" w16cid:durableId="260527740">
    <w:abstractNumId w:val="16"/>
  </w:num>
  <w:num w:numId="15" w16cid:durableId="1937321026">
    <w:abstractNumId w:val="3"/>
  </w:num>
  <w:num w:numId="16" w16cid:durableId="650839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095310">
    <w:abstractNumId w:val="3"/>
  </w:num>
  <w:num w:numId="18" w16cid:durableId="735786910">
    <w:abstractNumId w:val="18"/>
  </w:num>
  <w:num w:numId="19" w16cid:durableId="397167411">
    <w:abstractNumId w:val="0"/>
  </w:num>
  <w:num w:numId="20" w16cid:durableId="1534994620">
    <w:abstractNumId w:val="6"/>
  </w:num>
  <w:num w:numId="21" w16cid:durableId="869995228">
    <w:abstractNumId w:val="21"/>
  </w:num>
  <w:num w:numId="22" w16cid:durableId="701395055">
    <w:abstractNumId w:val="13"/>
  </w:num>
  <w:num w:numId="23" w16cid:durableId="341863975">
    <w:abstractNumId w:val="19"/>
  </w:num>
  <w:num w:numId="24" w16cid:durableId="379130874">
    <w:abstractNumId w:val="19"/>
    <w:lvlOverride w:ilvl="0">
      <w:startOverride w:val="1"/>
    </w:lvlOverride>
  </w:num>
  <w:num w:numId="25" w16cid:durableId="2077782840">
    <w:abstractNumId w:val="14"/>
  </w:num>
  <w:num w:numId="26" w16cid:durableId="2092240943">
    <w:abstractNumId w:val="2"/>
  </w:num>
  <w:num w:numId="27" w16cid:durableId="109729166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DF"/>
    <w:rsid w:val="00001CC2"/>
    <w:rsid w:val="000039FB"/>
    <w:rsid w:val="000235C3"/>
    <w:rsid w:val="00024760"/>
    <w:rsid w:val="00032B51"/>
    <w:rsid w:val="00056EFA"/>
    <w:rsid w:val="000803C8"/>
    <w:rsid w:val="000A39AD"/>
    <w:rsid w:val="000D00A6"/>
    <w:rsid w:val="000F2671"/>
    <w:rsid w:val="000F2A13"/>
    <w:rsid w:val="00106F36"/>
    <w:rsid w:val="00120125"/>
    <w:rsid w:val="00133F41"/>
    <w:rsid w:val="00151F1A"/>
    <w:rsid w:val="00176500"/>
    <w:rsid w:val="001A2350"/>
    <w:rsid w:val="001C14C2"/>
    <w:rsid w:val="001F46E6"/>
    <w:rsid w:val="001F481F"/>
    <w:rsid w:val="00202F3D"/>
    <w:rsid w:val="002079E3"/>
    <w:rsid w:val="00227F5F"/>
    <w:rsid w:val="00236D74"/>
    <w:rsid w:val="00257B72"/>
    <w:rsid w:val="00273DA3"/>
    <w:rsid w:val="00282A4F"/>
    <w:rsid w:val="00284A9D"/>
    <w:rsid w:val="002C5AF1"/>
    <w:rsid w:val="002D54AC"/>
    <w:rsid w:val="002F2B1F"/>
    <w:rsid w:val="00305819"/>
    <w:rsid w:val="00312FE0"/>
    <w:rsid w:val="0033171C"/>
    <w:rsid w:val="00337D0F"/>
    <w:rsid w:val="00347C96"/>
    <w:rsid w:val="00355D10"/>
    <w:rsid w:val="003B343B"/>
    <w:rsid w:val="003C315B"/>
    <w:rsid w:val="003C407F"/>
    <w:rsid w:val="003D2D48"/>
    <w:rsid w:val="003D668A"/>
    <w:rsid w:val="003E3121"/>
    <w:rsid w:val="003E454C"/>
    <w:rsid w:val="003E5CD0"/>
    <w:rsid w:val="003E7964"/>
    <w:rsid w:val="003F15AA"/>
    <w:rsid w:val="003F3B13"/>
    <w:rsid w:val="003F6BC7"/>
    <w:rsid w:val="004007F5"/>
    <w:rsid w:val="004038E6"/>
    <w:rsid w:val="004113D1"/>
    <w:rsid w:val="00414F35"/>
    <w:rsid w:val="00440012"/>
    <w:rsid w:val="00470723"/>
    <w:rsid w:val="00475A38"/>
    <w:rsid w:val="0047719E"/>
    <w:rsid w:val="004778B3"/>
    <w:rsid w:val="004C532F"/>
    <w:rsid w:val="004D52B1"/>
    <w:rsid w:val="004D7F2A"/>
    <w:rsid w:val="005237C4"/>
    <w:rsid w:val="00530508"/>
    <w:rsid w:val="00542F22"/>
    <w:rsid w:val="005523DF"/>
    <w:rsid w:val="005778BB"/>
    <w:rsid w:val="005819E2"/>
    <w:rsid w:val="005919D6"/>
    <w:rsid w:val="00595E54"/>
    <w:rsid w:val="005C42EB"/>
    <w:rsid w:val="005E0D9C"/>
    <w:rsid w:val="00602FC3"/>
    <w:rsid w:val="00622BDD"/>
    <w:rsid w:val="0062631C"/>
    <w:rsid w:val="006316B9"/>
    <w:rsid w:val="0064692E"/>
    <w:rsid w:val="00653A20"/>
    <w:rsid w:val="00685C4F"/>
    <w:rsid w:val="00694819"/>
    <w:rsid w:val="006B6396"/>
    <w:rsid w:val="006C3334"/>
    <w:rsid w:val="006D3362"/>
    <w:rsid w:val="006D3570"/>
    <w:rsid w:val="006D61B8"/>
    <w:rsid w:val="006E07F3"/>
    <w:rsid w:val="006F2CFF"/>
    <w:rsid w:val="00707C21"/>
    <w:rsid w:val="0071156E"/>
    <w:rsid w:val="00727062"/>
    <w:rsid w:val="00735AAA"/>
    <w:rsid w:val="00742CAA"/>
    <w:rsid w:val="00744EB8"/>
    <w:rsid w:val="007504E9"/>
    <w:rsid w:val="00774DF9"/>
    <w:rsid w:val="00775011"/>
    <w:rsid w:val="00797797"/>
    <w:rsid w:val="007A7677"/>
    <w:rsid w:val="007E2CE2"/>
    <w:rsid w:val="007F790F"/>
    <w:rsid w:val="00834D29"/>
    <w:rsid w:val="00834ED3"/>
    <w:rsid w:val="008464F2"/>
    <w:rsid w:val="00850F58"/>
    <w:rsid w:val="00866887"/>
    <w:rsid w:val="00877916"/>
    <w:rsid w:val="008849D6"/>
    <w:rsid w:val="008943FB"/>
    <w:rsid w:val="008B40DD"/>
    <w:rsid w:val="008F226B"/>
    <w:rsid w:val="008F5AE4"/>
    <w:rsid w:val="008F7CA9"/>
    <w:rsid w:val="00914279"/>
    <w:rsid w:val="00934B7F"/>
    <w:rsid w:val="00940D59"/>
    <w:rsid w:val="00944BDC"/>
    <w:rsid w:val="00957DE3"/>
    <w:rsid w:val="00962CBC"/>
    <w:rsid w:val="009831DE"/>
    <w:rsid w:val="00984BF6"/>
    <w:rsid w:val="009864D5"/>
    <w:rsid w:val="009A1F74"/>
    <w:rsid w:val="009A6541"/>
    <w:rsid w:val="009B750C"/>
    <w:rsid w:val="00A22CF9"/>
    <w:rsid w:val="00A241E2"/>
    <w:rsid w:val="00A27665"/>
    <w:rsid w:val="00A76D29"/>
    <w:rsid w:val="00A77AE2"/>
    <w:rsid w:val="00A90ACB"/>
    <w:rsid w:val="00A911E9"/>
    <w:rsid w:val="00A9204A"/>
    <w:rsid w:val="00A949FF"/>
    <w:rsid w:val="00AB2D24"/>
    <w:rsid w:val="00AB5267"/>
    <w:rsid w:val="00AC4B5C"/>
    <w:rsid w:val="00AC7A26"/>
    <w:rsid w:val="00AD23A3"/>
    <w:rsid w:val="00AF746B"/>
    <w:rsid w:val="00B00C45"/>
    <w:rsid w:val="00B02115"/>
    <w:rsid w:val="00B20EDD"/>
    <w:rsid w:val="00B234C7"/>
    <w:rsid w:val="00B32C77"/>
    <w:rsid w:val="00B34FE9"/>
    <w:rsid w:val="00B52B3E"/>
    <w:rsid w:val="00B7016A"/>
    <w:rsid w:val="00B755D9"/>
    <w:rsid w:val="00BB061F"/>
    <w:rsid w:val="00BB1D83"/>
    <w:rsid w:val="00BC7D42"/>
    <w:rsid w:val="00BD7045"/>
    <w:rsid w:val="00BE136A"/>
    <w:rsid w:val="00C0123D"/>
    <w:rsid w:val="00C04495"/>
    <w:rsid w:val="00C1754A"/>
    <w:rsid w:val="00C17EF3"/>
    <w:rsid w:val="00C47C8B"/>
    <w:rsid w:val="00C57C20"/>
    <w:rsid w:val="00C605D1"/>
    <w:rsid w:val="00C74156"/>
    <w:rsid w:val="00C76997"/>
    <w:rsid w:val="00C80B0E"/>
    <w:rsid w:val="00C81CA7"/>
    <w:rsid w:val="00C85466"/>
    <w:rsid w:val="00C95AD0"/>
    <w:rsid w:val="00CB77BB"/>
    <w:rsid w:val="00CC6FFD"/>
    <w:rsid w:val="00CE4E01"/>
    <w:rsid w:val="00D00106"/>
    <w:rsid w:val="00D03C77"/>
    <w:rsid w:val="00D06A2B"/>
    <w:rsid w:val="00D11473"/>
    <w:rsid w:val="00D21BC0"/>
    <w:rsid w:val="00D43DAB"/>
    <w:rsid w:val="00D51582"/>
    <w:rsid w:val="00D70909"/>
    <w:rsid w:val="00D76C32"/>
    <w:rsid w:val="00D77595"/>
    <w:rsid w:val="00DA0419"/>
    <w:rsid w:val="00DB6D8F"/>
    <w:rsid w:val="00DC35ED"/>
    <w:rsid w:val="00DC53F7"/>
    <w:rsid w:val="00DC69C7"/>
    <w:rsid w:val="00DD51D9"/>
    <w:rsid w:val="00DE3418"/>
    <w:rsid w:val="00DF319F"/>
    <w:rsid w:val="00E004A8"/>
    <w:rsid w:val="00E01610"/>
    <w:rsid w:val="00E1075B"/>
    <w:rsid w:val="00E1267B"/>
    <w:rsid w:val="00E174D0"/>
    <w:rsid w:val="00E34E36"/>
    <w:rsid w:val="00E4465B"/>
    <w:rsid w:val="00E50AAB"/>
    <w:rsid w:val="00E5303E"/>
    <w:rsid w:val="00E82284"/>
    <w:rsid w:val="00EB1775"/>
    <w:rsid w:val="00EC0736"/>
    <w:rsid w:val="00ED1C36"/>
    <w:rsid w:val="00ED6136"/>
    <w:rsid w:val="00EF7209"/>
    <w:rsid w:val="00F00733"/>
    <w:rsid w:val="00F12860"/>
    <w:rsid w:val="00F275CF"/>
    <w:rsid w:val="00F31ABA"/>
    <w:rsid w:val="00F51B0B"/>
    <w:rsid w:val="00F641A0"/>
    <w:rsid w:val="00F6737F"/>
    <w:rsid w:val="00F761B6"/>
    <w:rsid w:val="00F91B66"/>
    <w:rsid w:val="00F92C45"/>
    <w:rsid w:val="00F94B98"/>
    <w:rsid w:val="00FA1E90"/>
    <w:rsid w:val="00FA2C7F"/>
    <w:rsid w:val="00FD1135"/>
    <w:rsid w:val="00FE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E6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79"/>
    <w:rPr>
      <w:rFonts w:ascii="Times New Roman" w:hAnsi="Times New Roman"/>
    </w:rPr>
  </w:style>
  <w:style w:type="paragraph" w:styleId="Heading1">
    <w:name w:val="heading 1"/>
    <w:basedOn w:val="RulesSection"/>
    <w:next w:val="Normal"/>
    <w:link w:val="Heading1Char"/>
    <w:qFormat/>
    <w:rsid w:val="009864D5"/>
    <w:pPr>
      <w:numPr>
        <w:numId w:val="3"/>
      </w:numPr>
      <w:tabs>
        <w:tab w:val="left" w:pos="360"/>
        <w:tab w:val="left" w:pos="720"/>
        <w:tab w:val="left" w:pos="1080"/>
        <w:tab w:val="left" w:pos="1440"/>
        <w:tab w:val="left" w:pos="1800"/>
        <w:tab w:val="left" w:pos="2160"/>
        <w:tab w:val="left" w:pos="2520"/>
        <w:tab w:val="left" w:pos="2880"/>
        <w:tab w:val="left" w:pos="3240"/>
      </w:tabs>
      <w:outlineLvl w:val="0"/>
    </w:pPr>
    <w:rPr>
      <w:b/>
      <w:sz w:val="21"/>
    </w:rPr>
  </w:style>
  <w:style w:type="paragraph" w:styleId="Heading2">
    <w:name w:val="heading 2"/>
    <w:basedOn w:val="Normal"/>
    <w:next w:val="Normal"/>
    <w:link w:val="Heading2Char"/>
    <w:qFormat/>
    <w:rsid w:val="009864D5"/>
    <w:pPr>
      <w:numPr>
        <w:numId w:val="23"/>
      </w:numPr>
      <w:tabs>
        <w:tab w:val="left" w:pos="360"/>
        <w:tab w:val="left" w:pos="720"/>
        <w:tab w:val="left" w:pos="1080"/>
        <w:tab w:val="left" w:pos="1440"/>
        <w:tab w:val="left" w:pos="1800"/>
        <w:tab w:val="left" w:pos="2160"/>
        <w:tab w:val="left" w:pos="2520"/>
        <w:tab w:val="left" w:pos="2880"/>
        <w:tab w:val="left" w:pos="3240"/>
      </w:tabs>
      <w:jc w:val="both"/>
      <w:outlineLvl w:val="1"/>
    </w:pPr>
    <w:rPr>
      <w:b/>
      <w:sz w:val="21"/>
    </w:rPr>
  </w:style>
  <w:style w:type="paragraph" w:styleId="Heading3">
    <w:name w:val="heading 3"/>
    <w:basedOn w:val="BodyTextIndent"/>
    <w:next w:val="Normal"/>
    <w:link w:val="Heading3Char"/>
    <w:qFormat/>
    <w:rsid w:val="00440012"/>
    <w:pPr>
      <w:numPr>
        <w:numId w:val="6"/>
      </w:numPr>
      <w:jc w:val="left"/>
      <w:outlineLvl w:val="2"/>
    </w:pPr>
    <w:rPr>
      <w:szCs w:val="22"/>
    </w:rPr>
  </w:style>
  <w:style w:type="paragraph" w:styleId="Heading4">
    <w:name w:val="heading 4"/>
    <w:basedOn w:val="Normal"/>
    <w:next w:val="Normal"/>
    <w:link w:val="Heading4Char"/>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Indent">
    <w:name w:val="Body Text Indent"/>
    <w:basedOn w:val="Normal"/>
    <w:link w:val="BodyTextIndentChar"/>
    <w:pPr>
      <w:tabs>
        <w:tab w:val="left" w:pos="360"/>
        <w:tab w:val="left" w:pos="720"/>
        <w:tab w:val="left" w:pos="1080"/>
        <w:tab w:val="left" w:pos="1440"/>
        <w:tab w:val="left" w:pos="1800"/>
        <w:tab w:val="left" w:pos="2160"/>
        <w:tab w:val="left" w:pos="2520"/>
        <w:tab w:val="left" w:pos="2880"/>
        <w:tab w:val="left" w:pos="3240"/>
      </w:tabs>
      <w:ind w:left="1080" w:hanging="1080"/>
      <w:jc w:val="both"/>
    </w:pPr>
    <w:rPr>
      <w:sz w:val="22"/>
    </w:rPr>
  </w:style>
  <w:style w:type="paragraph" w:styleId="BodyTextIndent2">
    <w:name w:val="Body Text Indent 2"/>
    <w:basedOn w:val="Normal"/>
    <w:pPr>
      <w:tabs>
        <w:tab w:val="left" w:pos="360"/>
        <w:tab w:val="left" w:pos="720"/>
        <w:tab w:val="left" w:pos="1080"/>
        <w:tab w:val="left" w:pos="1440"/>
        <w:tab w:val="left" w:pos="1800"/>
        <w:tab w:val="left" w:pos="2160"/>
        <w:tab w:val="left" w:pos="8640"/>
      </w:tabs>
      <w:spacing w:line="240" w:lineRule="atLeast"/>
      <w:ind w:left="1800" w:hanging="1800"/>
      <w:jc w:val="both"/>
    </w:pPr>
    <w:rPr>
      <w:sz w:val="22"/>
    </w:rPr>
  </w:style>
  <w:style w:type="paragraph" w:styleId="BodyTextIndent3">
    <w:name w:val="Body Text Indent 3"/>
    <w:basedOn w:val="Normal"/>
    <w:pPr>
      <w:tabs>
        <w:tab w:val="left" w:pos="360"/>
        <w:tab w:val="left" w:pos="720"/>
        <w:tab w:val="left" w:pos="1080"/>
        <w:tab w:val="left" w:pos="1440"/>
        <w:tab w:val="left" w:pos="1800"/>
        <w:tab w:val="left" w:pos="2160"/>
        <w:tab w:val="left" w:pos="8640"/>
      </w:tabs>
      <w:spacing w:line="240" w:lineRule="atLeast"/>
      <w:ind w:left="1440" w:hanging="1440"/>
      <w:jc w:val="both"/>
    </w:pPr>
    <w:rPr>
      <w:sz w:val="22"/>
    </w:rPr>
  </w:style>
  <w:style w:type="character" w:customStyle="1" w:styleId="BodyTextIndentChar">
    <w:name w:val="Body Text Indent Char"/>
    <w:basedOn w:val="DefaultParagraphFont"/>
    <w:link w:val="BodyTextIndent"/>
    <w:rsid w:val="003E5CD0"/>
    <w:rPr>
      <w:rFonts w:ascii="Times New Roman" w:hAnsi="Times New Roman"/>
      <w:sz w:val="22"/>
    </w:rPr>
  </w:style>
  <w:style w:type="paragraph" w:styleId="ListParagraph">
    <w:name w:val="List Paragraph"/>
    <w:basedOn w:val="Normal"/>
    <w:uiPriority w:val="34"/>
    <w:qFormat/>
    <w:rsid w:val="003E5CD0"/>
    <w:pPr>
      <w:ind w:left="720"/>
      <w:contextualSpacing/>
    </w:pPr>
  </w:style>
  <w:style w:type="paragraph" w:styleId="BalloonText">
    <w:name w:val="Balloon Text"/>
    <w:basedOn w:val="Normal"/>
    <w:link w:val="BalloonTextChar"/>
    <w:uiPriority w:val="99"/>
    <w:semiHidden/>
    <w:unhideWhenUsed/>
    <w:rsid w:val="00AD2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A3"/>
    <w:rPr>
      <w:rFonts w:ascii="Segoe UI" w:hAnsi="Segoe UI" w:cs="Segoe UI"/>
      <w:sz w:val="18"/>
      <w:szCs w:val="18"/>
    </w:rPr>
  </w:style>
  <w:style w:type="character" w:customStyle="1" w:styleId="Heading2Char">
    <w:name w:val="Heading 2 Char"/>
    <w:basedOn w:val="DefaultParagraphFont"/>
    <w:link w:val="Heading2"/>
    <w:rsid w:val="00BE136A"/>
    <w:rPr>
      <w:rFonts w:ascii="Times New Roman" w:hAnsi="Times New Roman"/>
      <w:b/>
      <w:sz w:val="21"/>
    </w:rPr>
  </w:style>
  <w:style w:type="character" w:customStyle="1" w:styleId="Heading4Char">
    <w:name w:val="Heading 4 Char"/>
    <w:basedOn w:val="DefaultParagraphFont"/>
    <w:link w:val="Heading4"/>
    <w:rsid w:val="00BE136A"/>
    <w:rPr>
      <w:rFonts w:ascii="Times New Roman" w:hAnsi="Times New Roman"/>
      <w:sz w:val="24"/>
      <w:u w:val="single"/>
    </w:rPr>
  </w:style>
  <w:style w:type="character" w:styleId="CommentReference">
    <w:name w:val="annotation reference"/>
    <w:basedOn w:val="DefaultParagraphFont"/>
    <w:uiPriority w:val="99"/>
    <w:semiHidden/>
    <w:unhideWhenUsed/>
    <w:rsid w:val="00C0123D"/>
    <w:rPr>
      <w:sz w:val="16"/>
      <w:szCs w:val="16"/>
    </w:rPr>
  </w:style>
  <w:style w:type="paragraph" w:styleId="CommentText">
    <w:name w:val="annotation text"/>
    <w:basedOn w:val="Normal"/>
    <w:link w:val="CommentTextChar"/>
    <w:uiPriority w:val="99"/>
    <w:unhideWhenUsed/>
    <w:rsid w:val="00C0123D"/>
  </w:style>
  <w:style w:type="character" w:customStyle="1" w:styleId="CommentTextChar">
    <w:name w:val="Comment Text Char"/>
    <w:basedOn w:val="DefaultParagraphFont"/>
    <w:link w:val="CommentText"/>
    <w:uiPriority w:val="99"/>
    <w:rsid w:val="00C012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123D"/>
    <w:rPr>
      <w:b/>
      <w:bCs/>
    </w:rPr>
  </w:style>
  <w:style w:type="character" w:customStyle="1" w:styleId="CommentSubjectChar">
    <w:name w:val="Comment Subject Char"/>
    <w:basedOn w:val="CommentTextChar"/>
    <w:link w:val="CommentSubject"/>
    <w:uiPriority w:val="99"/>
    <w:semiHidden/>
    <w:rsid w:val="00C0123D"/>
    <w:rPr>
      <w:rFonts w:ascii="Times New Roman" w:hAnsi="Times New Roman"/>
      <w:b/>
      <w:bCs/>
    </w:rPr>
  </w:style>
  <w:style w:type="character" w:customStyle="1" w:styleId="Heading1Char">
    <w:name w:val="Heading 1 Char"/>
    <w:basedOn w:val="DefaultParagraphFont"/>
    <w:link w:val="Heading1"/>
    <w:rsid w:val="001F46E6"/>
    <w:rPr>
      <w:rFonts w:ascii="Times New Roman" w:hAnsi="Times New Roman"/>
      <w:b/>
      <w:sz w:val="21"/>
    </w:rPr>
  </w:style>
  <w:style w:type="character" w:styleId="Hyperlink">
    <w:name w:val="Hyperlink"/>
    <w:basedOn w:val="DefaultParagraphFont"/>
    <w:uiPriority w:val="99"/>
    <w:unhideWhenUsed/>
    <w:rsid w:val="009831DE"/>
    <w:rPr>
      <w:color w:val="0563C1"/>
      <w:u w:val="single"/>
    </w:rPr>
  </w:style>
  <w:style w:type="character" w:styleId="UnresolvedMention">
    <w:name w:val="Unresolved Mention"/>
    <w:basedOn w:val="DefaultParagraphFont"/>
    <w:uiPriority w:val="99"/>
    <w:semiHidden/>
    <w:unhideWhenUsed/>
    <w:rsid w:val="009831DE"/>
    <w:rPr>
      <w:color w:val="605E5C"/>
      <w:shd w:val="clear" w:color="auto" w:fill="E1DFDD"/>
    </w:rPr>
  </w:style>
  <w:style w:type="paragraph" w:styleId="Revision">
    <w:name w:val="Revision"/>
    <w:hidden/>
    <w:uiPriority w:val="99"/>
    <w:semiHidden/>
    <w:rsid w:val="00440012"/>
    <w:rPr>
      <w:rFonts w:ascii="Times New Roman" w:hAnsi="Times New Roman"/>
    </w:rPr>
  </w:style>
  <w:style w:type="character" w:customStyle="1" w:styleId="Heading3Char">
    <w:name w:val="Heading 3 Char"/>
    <w:basedOn w:val="DefaultParagraphFont"/>
    <w:link w:val="Heading3"/>
    <w:rsid w:val="00E82284"/>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4784">
      <w:bodyDiv w:val="1"/>
      <w:marLeft w:val="0"/>
      <w:marRight w:val="0"/>
      <w:marTop w:val="0"/>
      <w:marBottom w:val="0"/>
      <w:divBdr>
        <w:top w:val="none" w:sz="0" w:space="0" w:color="auto"/>
        <w:left w:val="none" w:sz="0" w:space="0" w:color="auto"/>
        <w:bottom w:val="none" w:sz="0" w:space="0" w:color="auto"/>
        <w:right w:val="none" w:sz="0" w:space="0" w:color="auto"/>
      </w:divBdr>
    </w:div>
    <w:div w:id="647897778">
      <w:bodyDiv w:val="1"/>
      <w:marLeft w:val="0"/>
      <w:marRight w:val="0"/>
      <w:marTop w:val="0"/>
      <w:marBottom w:val="0"/>
      <w:divBdr>
        <w:top w:val="none" w:sz="0" w:space="0" w:color="auto"/>
        <w:left w:val="none" w:sz="0" w:space="0" w:color="auto"/>
        <w:bottom w:val="none" w:sz="0" w:space="0" w:color="auto"/>
        <w:right w:val="none" w:sz="0" w:space="0" w:color="auto"/>
      </w:divBdr>
    </w:div>
    <w:div w:id="998265656">
      <w:bodyDiv w:val="1"/>
      <w:marLeft w:val="0"/>
      <w:marRight w:val="0"/>
      <w:marTop w:val="0"/>
      <w:marBottom w:val="0"/>
      <w:divBdr>
        <w:top w:val="none" w:sz="0" w:space="0" w:color="auto"/>
        <w:left w:val="none" w:sz="0" w:space="0" w:color="auto"/>
        <w:bottom w:val="none" w:sz="0" w:space="0" w:color="auto"/>
        <w:right w:val="none" w:sz="0" w:space="0" w:color="auto"/>
      </w:divBdr>
    </w:div>
    <w:div w:id="1283656298">
      <w:bodyDiv w:val="1"/>
      <w:marLeft w:val="0"/>
      <w:marRight w:val="0"/>
      <w:marTop w:val="0"/>
      <w:marBottom w:val="0"/>
      <w:divBdr>
        <w:top w:val="none" w:sz="0" w:space="0" w:color="auto"/>
        <w:left w:val="none" w:sz="0" w:space="0" w:color="auto"/>
        <w:bottom w:val="none" w:sz="0" w:space="0" w:color="auto"/>
        <w:right w:val="none" w:sz="0" w:space="0" w:color="auto"/>
      </w:divBdr>
    </w:div>
    <w:div w:id="1400251394">
      <w:bodyDiv w:val="1"/>
      <w:marLeft w:val="0"/>
      <w:marRight w:val="0"/>
      <w:marTop w:val="0"/>
      <w:marBottom w:val="0"/>
      <w:divBdr>
        <w:top w:val="none" w:sz="0" w:space="0" w:color="auto"/>
        <w:left w:val="none" w:sz="0" w:space="0" w:color="auto"/>
        <w:bottom w:val="none" w:sz="0" w:space="0" w:color="auto"/>
        <w:right w:val="none" w:sz="0" w:space="0" w:color="auto"/>
      </w:divBdr>
    </w:div>
    <w:div w:id="14791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tm.org/products-services/standards-and-publications/astm-reading-room.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fr.gov/current/title-40/chapter-I/subchapter-C" TargetMode="External"/><Relationship Id="rId4" Type="http://schemas.openxmlformats.org/officeDocument/2006/relationships/settings" Target="settings.xml"/><Relationship Id="rId9" Type="http://schemas.openxmlformats.org/officeDocument/2006/relationships/hyperlink" Target="https://www.maine.gov/sos/cec/rules/06/chaps06.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5453-BB0E-4948-992D-270A5BEE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3739</Words>
  <Characters>19992</Characters>
  <Application>Microsoft Office Word</Application>
  <DocSecurity>0</DocSecurity>
  <Lines>166</Lines>
  <Paragraphs>47</Paragraphs>
  <ScaleCrop>false</ScaleCrop>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2024-05-06T20:45:00Z</dcterms:created>
  <dcterms:modified xsi:type="dcterms:W3CDTF">2024-05-06T20:45:00Z</dcterms:modified>
</cp:coreProperties>
</file>