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02</w:t>
      </w:r>
      <w:r w:rsidRPr="002630A5">
        <w:rPr>
          <w:rFonts w:ascii="Times New Roman" w:hAnsi="Times New Roman"/>
          <w:b/>
          <w:sz w:val="22"/>
          <w:szCs w:val="22"/>
        </w:rPr>
        <w:tab/>
        <w:t>DEPARTMENT OF PROFESSIONAL AND FINANCIAL REGULATION</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i/>
          <w:sz w:val="22"/>
          <w:szCs w:val="22"/>
        </w:rPr>
      </w:pPr>
      <w:r w:rsidRPr="002630A5">
        <w:rPr>
          <w:rFonts w:ascii="Times New Roman" w:hAnsi="Times New Roman"/>
          <w:i/>
          <w:sz w:val="22"/>
          <w:szCs w:val="22"/>
        </w:rPr>
        <w:t>JOINT RULE</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029</w:t>
      </w:r>
      <w:r w:rsidRPr="002630A5">
        <w:rPr>
          <w:rFonts w:ascii="Times New Roman" w:hAnsi="Times New Roman"/>
          <w:b/>
          <w:sz w:val="22"/>
          <w:szCs w:val="22"/>
        </w:rPr>
        <w:tab/>
        <w:t>BUREAU OF FINANCIAL INSTITUTIONS</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Chapter 119 (Regulation 19): Alternative Mortgage Transactions</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i/>
          <w:sz w:val="22"/>
          <w:szCs w:val="22"/>
        </w:rPr>
      </w:pPr>
      <w:proofErr w:type="gramStart"/>
      <w:r w:rsidRPr="002630A5">
        <w:rPr>
          <w:rFonts w:ascii="Times New Roman" w:hAnsi="Times New Roman"/>
          <w:i/>
          <w:sz w:val="22"/>
          <w:szCs w:val="22"/>
        </w:rPr>
        <w:t>and</w:t>
      </w:r>
      <w:proofErr w:type="gramEnd"/>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sz w:val="22"/>
          <w:szCs w:val="22"/>
        </w:rPr>
      </w:pP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030</w:t>
      </w:r>
      <w:r w:rsidRPr="002630A5">
        <w:rPr>
          <w:rFonts w:ascii="Times New Roman" w:hAnsi="Times New Roman"/>
          <w:b/>
          <w:sz w:val="22"/>
          <w:szCs w:val="22"/>
        </w:rPr>
        <w:tab/>
        <w:t>BUREAU OF CONSUMER CREDIT PROTECTION</w:t>
      </w:r>
    </w:p>
    <w:p w:rsidR="002630A5" w:rsidRPr="002630A5" w:rsidRDefault="002630A5" w:rsidP="009707F5">
      <w:pPr>
        <w:tabs>
          <w:tab w:val="left" w:pos="720"/>
          <w:tab w:val="left" w:pos="1440"/>
          <w:tab w:val="left" w:pos="2160"/>
          <w:tab w:val="left" w:pos="2880"/>
        </w:tabs>
        <w:overflowPunct/>
        <w:autoSpaceDE/>
        <w:autoSpaceDN/>
        <w:adjustRightInd/>
        <w:ind w:left="720" w:hanging="720"/>
        <w:jc w:val="center"/>
        <w:textAlignment w:val="auto"/>
        <w:rPr>
          <w:rFonts w:ascii="Times New Roman" w:hAnsi="Times New Roman"/>
          <w:b/>
          <w:sz w:val="22"/>
          <w:szCs w:val="22"/>
        </w:rPr>
      </w:pPr>
      <w:r w:rsidRPr="002630A5">
        <w:rPr>
          <w:rFonts w:ascii="Times New Roman" w:hAnsi="Times New Roman"/>
          <w:b/>
          <w:sz w:val="22"/>
          <w:szCs w:val="22"/>
        </w:rPr>
        <w:t>Chapter 250 (Rule 250): Alternative Mortgage Transactions</w:t>
      </w:r>
    </w:p>
    <w:p w:rsidR="005D1E35" w:rsidRDefault="005D1E35" w:rsidP="007A12D2">
      <w:pPr>
        <w:pBdr>
          <w:bottom w:val="single" w:sz="4" w:space="1" w:color="auto"/>
        </w:pBd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7A12D2" w:rsidRPr="00752006" w:rsidRDefault="007A12D2"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A12D2">
        <w:rPr>
          <w:rFonts w:ascii="Times New Roman" w:hAnsi="Times New Roman"/>
          <w:b/>
          <w:sz w:val="22"/>
          <w:szCs w:val="22"/>
        </w:rPr>
        <w:t>SUMMARY</w:t>
      </w:r>
      <w:r w:rsidRPr="00752006">
        <w:rPr>
          <w:rFonts w:ascii="Times New Roman" w:hAnsi="Times New Roman"/>
          <w:sz w:val="22"/>
          <w:szCs w:val="22"/>
        </w:rPr>
        <w:t>:</w:t>
      </w:r>
      <w:r w:rsidR="00752006" w:rsidRPr="00752006">
        <w:rPr>
          <w:rFonts w:ascii="Times New Roman" w:hAnsi="Times New Roman"/>
          <w:sz w:val="22"/>
          <w:szCs w:val="22"/>
        </w:rPr>
        <w:t xml:space="preserve"> </w:t>
      </w:r>
      <w:r w:rsidRPr="00752006">
        <w:rPr>
          <w:rFonts w:ascii="Times New Roman" w:hAnsi="Times New Roman"/>
          <w:sz w:val="22"/>
          <w:szCs w:val="22"/>
        </w:rPr>
        <w:t>This promulgation repeals and replaces the current Alternative Mortgage Transaction Joint Rule, Bureau of Financial Institutions Regulation 19 and Bureau of Consumer Credit Protection Rule 250.</w:t>
      </w:r>
      <w:r w:rsidR="00752006" w:rsidRPr="00752006">
        <w:rPr>
          <w:rFonts w:ascii="Times New Roman" w:hAnsi="Times New Roman"/>
          <w:sz w:val="22"/>
          <w:szCs w:val="22"/>
        </w:rPr>
        <w:t xml:space="preserve"> </w:t>
      </w:r>
      <w:r w:rsidRPr="00752006">
        <w:rPr>
          <w:rFonts w:ascii="Times New Roman" w:hAnsi="Times New Roman"/>
          <w:sz w:val="22"/>
          <w:szCs w:val="22"/>
        </w:rPr>
        <w:t>This promulgation permits creditors and financial institutions to offer certain alternative mortgage products that are secured by a first-lien on real estate and that are generally accepted on the national secondary market.</w:t>
      </w:r>
      <w:r w:rsidR="00752006" w:rsidRPr="00752006">
        <w:rPr>
          <w:rFonts w:ascii="Times New Roman" w:hAnsi="Times New Roman"/>
          <w:sz w:val="22"/>
          <w:szCs w:val="22"/>
        </w:rPr>
        <w:t xml:space="preserve"> </w:t>
      </w:r>
      <w:r w:rsidRPr="00752006">
        <w:rPr>
          <w:rFonts w:ascii="Times New Roman" w:hAnsi="Times New Roman"/>
          <w:sz w:val="22"/>
          <w:szCs w:val="22"/>
        </w:rPr>
        <w:t>It fosters an efficient approach to the regulation of alternative mortgage transactions and provides protection for consumer borrowers.</w:t>
      </w:r>
      <w:r w:rsidR="00752006" w:rsidRPr="00752006">
        <w:rPr>
          <w:rFonts w:ascii="Times New Roman" w:hAnsi="Times New Roman"/>
          <w:sz w:val="22"/>
          <w:szCs w:val="22"/>
        </w:rPr>
        <w:t xml:space="preserve"> </w:t>
      </w:r>
      <w:r w:rsidRPr="00752006">
        <w:rPr>
          <w:rFonts w:ascii="Times New Roman" w:hAnsi="Times New Roman"/>
          <w:sz w:val="22"/>
          <w:szCs w:val="22"/>
        </w:rPr>
        <w:t>An alternative mortgage transaction is, generally, a loan secured by an interest in residential property for which the mortgage interest rate or finance charge may be adjusted or renegotiated.</w:t>
      </w:r>
    </w:p>
    <w:p w:rsidR="005D1E35" w:rsidRPr="00752006" w:rsidRDefault="005D1E35" w:rsidP="007A12D2">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52006">
        <w:rPr>
          <w:rFonts w:ascii="Times New Roman" w:hAnsi="Times New Roman"/>
          <w:sz w:val="22"/>
          <w:szCs w:val="22"/>
        </w:rPr>
        <w:t xml:space="preserve">The federal </w:t>
      </w:r>
      <w:r w:rsidRPr="00C80C9D">
        <w:rPr>
          <w:rFonts w:ascii="Times New Roman" w:hAnsi="Times New Roman"/>
          <w:i/>
          <w:sz w:val="22"/>
          <w:szCs w:val="22"/>
        </w:rPr>
        <w:t>Dodd-Frank Wall Street Reform and Consumer Protection Act of 2010</w:t>
      </w:r>
      <w:r w:rsidRPr="00752006">
        <w:rPr>
          <w:rFonts w:ascii="Times New Roman" w:hAnsi="Times New Roman"/>
          <w:sz w:val="22"/>
          <w:szCs w:val="22"/>
        </w:rPr>
        <w:t xml:space="preserve"> authorized the creation of the federal Consumer Financial Protection Bureau (“CFPB”).</w:t>
      </w:r>
      <w:r w:rsidR="00752006" w:rsidRPr="00752006">
        <w:rPr>
          <w:rFonts w:ascii="Times New Roman" w:hAnsi="Times New Roman"/>
          <w:sz w:val="22"/>
          <w:szCs w:val="22"/>
        </w:rPr>
        <w:t xml:space="preserve"> </w:t>
      </w:r>
      <w:r w:rsidRPr="00752006">
        <w:rPr>
          <w:rFonts w:ascii="Times New Roman" w:hAnsi="Times New Roman"/>
          <w:sz w:val="22"/>
          <w:szCs w:val="22"/>
        </w:rPr>
        <w:t>The purpose of the CFPB is to promote fairness and transparency for mortgages and other consumer financial products.</w:t>
      </w:r>
      <w:r w:rsidR="00752006" w:rsidRPr="00752006">
        <w:rPr>
          <w:rFonts w:ascii="Times New Roman" w:hAnsi="Times New Roman"/>
          <w:sz w:val="22"/>
          <w:szCs w:val="22"/>
        </w:rPr>
        <w:t xml:space="preserve"> </w:t>
      </w:r>
      <w:r w:rsidRPr="00752006">
        <w:rPr>
          <w:rFonts w:ascii="Times New Roman" w:hAnsi="Times New Roman"/>
          <w:sz w:val="22"/>
          <w:szCs w:val="22"/>
        </w:rPr>
        <w:t xml:space="preserve">The CFPB was given authority over federal consumer laws including the </w:t>
      </w:r>
      <w:r w:rsidRPr="00C80C9D">
        <w:rPr>
          <w:rFonts w:ascii="Times New Roman" w:hAnsi="Times New Roman"/>
          <w:i/>
          <w:sz w:val="22"/>
          <w:szCs w:val="22"/>
        </w:rPr>
        <w:t>Alternative Mortgage Transaction Parity Act</w:t>
      </w:r>
      <w:r w:rsidRPr="00752006">
        <w:rPr>
          <w:rFonts w:ascii="Times New Roman" w:hAnsi="Times New Roman"/>
          <w:sz w:val="22"/>
          <w:szCs w:val="22"/>
        </w:rPr>
        <w:t xml:space="preserve"> of 1982 (“AMTPA”)</w:t>
      </w:r>
      <w:r w:rsidRPr="00752006">
        <w:rPr>
          <w:rStyle w:val="FootnoteReference"/>
          <w:rFonts w:ascii="Times New Roman" w:hAnsi="Times New Roman"/>
          <w:sz w:val="22"/>
          <w:szCs w:val="22"/>
        </w:rPr>
        <w:footnoteReference w:id="1"/>
      </w:r>
      <w:r w:rsidRPr="00752006">
        <w:rPr>
          <w:rFonts w:ascii="Times New Roman" w:hAnsi="Times New Roman"/>
          <w:sz w:val="22"/>
          <w:szCs w:val="22"/>
        </w:rPr>
        <w:t xml:space="preserve"> and the federal </w:t>
      </w:r>
      <w:r w:rsidRPr="00C80C9D">
        <w:rPr>
          <w:rFonts w:ascii="Times New Roman" w:hAnsi="Times New Roman"/>
          <w:i/>
          <w:sz w:val="22"/>
          <w:szCs w:val="22"/>
        </w:rPr>
        <w:t>Truth-in-Lending Act</w:t>
      </w:r>
      <w:r w:rsidRPr="00752006">
        <w:rPr>
          <w:rFonts w:ascii="Times New Roman" w:hAnsi="Times New Roman"/>
          <w:sz w:val="22"/>
          <w:szCs w:val="22"/>
        </w:rPr>
        <w:t xml:space="preserve"> (“TILA”).</w:t>
      </w:r>
      <w:r w:rsidR="00752006" w:rsidRPr="00752006">
        <w:rPr>
          <w:rFonts w:ascii="Times New Roman" w:hAnsi="Times New Roman"/>
          <w:sz w:val="22"/>
          <w:szCs w:val="22"/>
        </w:rPr>
        <w:t xml:space="preserve"> </w:t>
      </w:r>
      <w:r w:rsidRPr="00752006">
        <w:rPr>
          <w:rFonts w:ascii="Times New Roman" w:hAnsi="Times New Roman"/>
          <w:sz w:val="22"/>
          <w:szCs w:val="22"/>
        </w:rPr>
        <w:t>Since its inception, the CFPB has promulgated new consumer protections for mortgage borrowers.</w:t>
      </w:r>
      <w:r w:rsidR="00752006" w:rsidRPr="00752006">
        <w:rPr>
          <w:rFonts w:ascii="Times New Roman" w:hAnsi="Times New Roman"/>
          <w:sz w:val="22"/>
          <w:szCs w:val="22"/>
        </w:rPr>
        <w:t xml:space="preserve"> </w:t>
      </w:r>
      <w:r w:rsidRPr="00752006">
        <w:rPr>
          <w:rFonts w:ascii="Times New Roman" w:hAnsi="Times New Roman"/>
          <w:sz w:val="22"/>
          <w:szCs w:val="22"/>
        </w:rPr>
        <w:t>The CFPB has issued Regulation D, 12</w:t>
      </w:r>
      <w:r w:rsidR="000F3FA2">
        <w:rPr>
          <w:rFonts w:ascii="Times New Roman" w:hAnsi="Times New Roman"/>
          <w:sz w:val="22"/>
          <w:szCs w:val="22"/>
        </w:rPr>
        <w:t> </w:t>
      </w:r>
      <w:r w:rsidRPr="00752006">
        <w:rPr>
          <w:rFonts w:ascii="Times New Roman" w:hAnsi="Times New Roman"/>
          <w:sz w:val="22"/>
          <w:szCs w:val="22"/>
        </w:rPr>
        <w:t>C.F.R. §§ 1004.1-1004.4, to implement AMTPA and has made numerous changes to TILA regulations.</w:t>
      </w:r>
      <w:r w:rsidR="00752006" w:rsidRPr="00752006">
        <w:rPr>
          <w:rFonts w:ascii="Times New Roman" w:hAnsi="Times New Roman"/>
          <w:sz w:val="22"/>
          <w:szCs w:val="22"/>
        </w:rPr>
        <w:t xml:space="preserve"> </w:t>
      </w:r>
      <w:r w:rsidRPr="00752006">
        <w:rPr>
          <w:rFonts w:ascii="Times New Roman" w:hAnsi="Times New Roman"/>
          <w:sz w:val="22"/>
          <w:szCs w:val="22"/>
        </w:rPr>
        <w:t xml:space="preserve">The new federal protections found in TILA and TILA regulations have been incorporated into Maine law in Article VIII-A of the </w:t>
      </w:r>
      <w:r w:rsidRPr="00C80C9D">
        <w:rPr>
          <w:rFonts w:ascii="Times New Roman" w:hAnsi="Times New Roman"/>
          <w:i/>
          <w:sz w:val="22"/>
          <w:szCs w:val="22"/>
        </w:rPr>
        <w:t>Consumer Credit Code</w:t>
      </w:r>
      <w:r w:rsidRPr="00752006">
        <w:rPr>
          <w:rFonts w:ascii="Times New Roman" w:hAnsi="Times New Roman"/>
          <w:sz w:val="22"/>
          <w:szCs w:val="22"/>
        </w:rPr>
        <w:t xml:space="preserve"> and include a requirement that creditors consider a consumer’s repayment ability, qualified mortgage incentives, restrictions on high-cost mortgages, and new integrated mortgage loan disclosure requirements under TILA and RESPA (the </w:t>
      </w:r>
      <w:r w:rsidRPr="00C80C9D">
        <w:rPr>
          <w:rFonts w:ascii="Times New Roman" w:hAnsi="Times New Roman"/>
          <w:i/>
          <w:sz w:val="22"/>
          <w:szCs w:val="22"/>
        </w:rPr>
        <w:t>Real Estate Settlement Procedures Act</w:t>
      </w:r>
      <w:r w:rsidRPr="00752006">
        <w:rPr>
          <w:rFonts w:ascii="Times New Roman" w:hAnsi="Times New Roman"/>
          <w:sz w:val="22"/>
          <w:szCs w:val="22"/>
        </w:rPr>
        <w:t>).</w:t>
      </w:r>
      <w:r w:rsidR="00752006" w:rsidRPr="00752006">
        <w:rPr>
          <w:rFonts w:ascii="Times New Roman" w:hAnsi="Times New Roman"/>
          <w:sz w:val="22"/>
          <w:szCs w:val="22"/>
        </w:rPr>
        <w:t xml:space="preserve"> </w:t>
      </w:r>
      <w:r w:rsidRPr="00752006">
        <w:rPr>
          <w:rFonts w:ascii="Times New Roman" w:hAnsi="Times New Roman"/>
          <w:sz w:val="22"/>
          <w:szCs w:val="22"/>
        </w:rPr>
        <w:t>Given those new federal regulations, the Bureau of Financial Institutions and the Bureau of Consumer Credit Protection find it appropriate to update their Joint Rule so that it is substantially aligned with Regulation D.</w:t>
      </w:r>
      <w:r w:rsidR="00752006" w:rsidRPr="00752006">
        <w:rPr>
          <w:rFonts w:ascii="Times New Roman" w:hAnsi="Times New Roman"/>
          <w:sz w:val="22"/>
          <w:szCs w:val="22"/>
        </w:rPr>
        <w:t xml:space="preserve"> </w:t>
      </w:r>
      <w:r w:rsidRPr="00752006">
        <w:rPr>
          <w:rFonts w:ascii="Times New Roman" w:hAnsi="Times New Roman"/>
          <w:sz w:val="22"/>
          <w:szCs w:val="22"/>
        </w:rPr>
        <w:t>This effort to align State with federal law and thereby ease compliance burdens is made pursuant to the Bureaus’ broad authority to prohibit, by rule or order, acts or practices in connection with residential mortgages that are unfair, deceptive, or designed to evade truth-in-lending laws.</w:t>
      </w:r>
      <w:r w:rsidR="00752006" w:rsidRPr="00752006">
        <w:rPr>
          <w:rFonts w:ascii="Times New Roman" w:hAnsi="Times New Roman"/>
          <w:sz w:val="22"/>
          <w:szCs w:val="22"/>
        </w:rPr>
        <w:t xml:space="preserve">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pacing w:val="-2"/>
          <w:sz w:val="22"/>
          <w:szCs w:val="22"/>
        </w:rPr>
      </w:pPr>
      <w:r w:rsidRPr="005077C7">
        <w:rPr>
          <w:rFonts w:ascii="Times New Roman" w:hAnsi="Times New Roman"/>
          <w:b/>
          <w:sz w:val="22"/>
          <w:szCs w:val="22"/>
        </w:rPr>
        <w:t>BACKGROUND</w:t>
      </w:r>
      <w:r w:rsidR="005077C7">
        <w:rPr>
          <w:rFonts w:ascii="Times New Roman" w:hAnsi="Times New Roman"/>
          <w:sz w:val="22"/>
          <w:szCs w:val="22"/>
        </w:rPr>
        <w:t xml:space="preserve">: </w:t>
      </w:r>
      <w:r w:rsidRPr="00665851">
        <w:rPr>
          <w:rFonts w:ascii="Times New Roman" w:hAnsi="Times New Roman"/>
        </w:rPr>
        <w:t>Major goals of AMTPA’s passage were to create federal preemption of state regulation of alternative mortgage transactions and to allow state housing creditors to make alternative mortgage transactions in compliance with federal rather than state law.</w:t>
      </w:r>
      <w:r w:rsidR="00752006">
        <w:rPr>
          <w:rFonts w:ascii="Times New Roman" w:hAnsi="Times New Roman"/>
        </w:rPr>
        <w:t xml:space="preserve"> </w:t>
      </w:r>
      <w:r w:rsidRPr="00665851">
        <w:rPr>
          <w:rFonts w:ascii="Times New Roman" w:hAnsi="Times New Roman"/>
        </w:rPr>
        <w:t xml:space="preserve">However, pursuant to a provision of AMTPA,12 U.S.C. </w:t>
      </w:r>
      <w:r w:rsidR="007A12D2">
        <w:rPr>
          <w:rFonts w:ascii="Times New Roman" w:hAnsi="Times New Roman"/>
        </w:rPr>
        <w:t>§</w:t>
      </w:r>
      <w:r w:rsidRPr="00665851">
        <w:rPr>
          <w:rFonts w:ascii="Times New Roman" w:hAnsi="Times New Roman"/>
        </w:rPr>
        <w:t>3804, federal preemption would not apply to alternative mortgage transactions subject to the laws of a state if such state, within three years of AMTPA’s enactment, enacted its own law explicitly opting out of AMTPA’s preemption.</w:t>
      </w:r>
      <w:r w:rsidR="00752006">
        <w:rPr>
          <w:rFonts w:ascii="Times New Roman" w:hAnsi="Times New Roman"/>
        </w:rPr>
        <w:t xml:space="preserve"> </w:t>
      </w:r>
      <w:r w:rsidRPr="00665851">
        <w:rPr>
          <w:rFonts w:ascii="Times New Roman" w:hAnsi="Times New Roman"/>
        </w:rPr>
        <w:t xml:space="preserve">In 1983, the Maine Legislature responded by enacting legislation making the federal preemption </w:t>
      </w:r>
      <w:r w:rsidRPr="00665851">
        <w:rPr>
          <w:rFonts w:ascii="Times New Roman" w:hAnsi="Times New Roman"/>
        </w:rPr>
        <w:lastRenderedPageBreak/>
        <w:t xml:space="preserve">inapplicable to the </w:t>
      </w:r>
      <w:r w:rsidRPr="00C80C9D">
        <w:rPr>
          <w:rFonts w:ascii="Times New Roman" w:hAnsi="Times New Roman"/>
          <w:i/>
        </w:rPr>
        <w:t>Maine Banking Code</w:t>
      </w:r>
      <w:r w:rsidRPr="00665851">
        <w:rPr>
          <w:rFonts w:ascii="Times New Roman" w:hAnsi="Times New Roman"/>
        </w:rPr>
        <w:t xml:space="preserve"> and </w:t>
      </w:r>
      <w:r w:rsidRPr="00C80C9D">
        <w:rPr>
          <w:rFonts w:ascii="Times New Roman" w:hAnsi="Times New Roman"/>
          <w:i/>
        </w:rPr>
        <w:t>Maine Consumer Credit Code</w:t>
      </w:r>
      <w:r w:rsidRPr="00665851">
        <w:rPr>
          <w:rFonts w:ascii="Times New Roman" w:hAnsi="Times New Roman"/>
        </w:rPr>
        <w:t>.</w:t>
      </w:r>
      <w:r w:rsidRPr="00665851">
        <w:rPr>
          <w:rStyle w:val="FootnoteReference"/>
          <w:rFonts w:ascii="Times New Roman" w:hAnsi="Times New Roman"/>
        </w:rPr>
        <w:footnoteReference w:id="2"/>
      </w:r>
      <w:r w:rsidR="00752006">
        <w:rPr>
          <w:rFonts w:ascii="Times New Roman" w:hAnsi="Times New Roman"/>
        </w:rPr>
        <w:t xml:space="preserve"> </w:t>
      </w:r>
      <w:r w:rsidRPr="00752006">
        <w:rPr>
          <w:rFonts w:ascii="Times New Roman" w:hAnsi="Times New Roman"/>
          <w:sz w:val="22"/>
          <w:szCs w:val="22"/>
        </w:rPr>
        <w:t xml:space="preserve">Further, by enactment of 9-B M.R.S. </w:t>
      </w:r>
      <w:r w:rsidR="007A12D2">
        <w:rPr>
          <w:rFonts w:ascii="Times New Roman" w:hAnsi="Times New Roman"/>
          <w:sz w:val="22"/>
          <w:szCs w:val="22"/>
        </w:rPr>
        <w:t>§</w:t>
      </w:r>
      <w:r w:rsidRPr="00752006">
        <w:rPr>
          <w:rFonts w:ascii="Times New Roman" w:hAnsi="Times New Roman"/>
          <w:sz w:val="22"/>
          <w:szCs w:val="22"/>
        </w:rPr>
        <w:t>241(3) in 1983, the Legislature granted the Bureau of Financial Institutions (then the Bureau of Banking) specific authority to do rulemaking regarding alternative mortgage instruments; by enactment of 9-A M.R.S. 9-302 in 1987, the Legislature granted the Bureau of Consumer Credit Protection (then the Office of Consumer Credit Protection) the same specific authority.</w:t>
      </w:r>
      <w:r w:rsidR="00752006" w:rsidRPr="00752006">
        <w:rPr>
          <w:rFonts w:ascii="Times New Roman" w:hAnsi="Times New Roman"/>
          <w:sz w:val="22"/>
          <w:szCs w:val="22"/>
        </w:rPr>
        <w:t xml:space="preserve"> </w:t>
      </w:r>
      <w:r w:rsidRPr="00752006">
        <w:rPr>
          <w:rFonts w:ascii="Times New Roman" w:hAnsi="Times New Roman"/>
          <w:spacing w:val="-2"/>
          <w:sz w:val="22"/>
          <w:szCs w:val="22"/>
        </w:rPr>
        <w:t>As a consequence, creditors and financial institutions making alternative mortgage transactions in Maine have been, and will continue to be, subject to the Bureaus’ laws and regulations, including this promulgation.</w:t>
      </w:r>
      <w:r w:rsidR="00752006" w:rsidRPr="00752006">
        <w:rPr>
          <w:rFonts w:ascii="Times New Roman" w:hAnsi="Times New Roman"/>
          <w:spacing w:val="-2"/>
          <w:sz w:val="22"/>
          <w:szCs w:val="22"/>
        </w:rPr>
        <w:t xml:space="preserve">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D1E35" w:rsidP="007A12D2">
      <w:pPr>
        <w:tabs>
          <w:tab w:val="left" w:pos="0"/>
        </w:tabs>
        <w:rPr>
          <w:rFonts w:ascii="Times New Roman" w:hAnsi="Times New Roman"/>
          <w:sz w:val="22"/>
          <w:szCs w:val="22"/>
        </w:rPr>
      </w:pPr>
      <w:r w:rsidRPr="00752006">
        <w:rPr>
          <w:rFonts w:ascii="Times New Roman" w:hAnsi="Times New Roman"/>
          <w:spacing w:val="-2"/>
          <w:sz w:val="22"/>
          <w:szCs w:val="22"/>
        </w:rPr>
        <w:t>The CFPB’s AMTPA Regulation D applies to federal housing creditors and, in states that have not opted out of AMTPA, to those state housing creditors seeking to utilize AMTPA preemption to make alternative mortgage transactions pursuant to federal law.</w:t>
      </w:r>
      <w:r w:rsidR="00752006" w:rsidRPr="00752006">
        <w:rPr>
          <w:rFonts w:ascii="Times New Roman" w:hAnsi="Times New Roman"/>
          <w:spacing w:val="-2"/>
          <w:sz w:val="22"/>
          <w:szCs w:val="22"/>
        </w:rPr>
        <w:t xml:space="preserve"> </w:t>
      </w:r>
      <w:r w:rsidRPr="00752006">
        <w:rPr>
          <w:rFonts w:ascii="Times New Roman" w:hAnsi="Times New Roman"/>
          <w:spacing w:val="-2"/>
          <w:sz w:val="22"/>
          <w:szCs w:val="22"/>
        </w:rPr>
        <w:t>Regulation D works in conjunction with the new TILA regulations to protect borrowers in alternative mortgage transactions.</w:t>
      </w:r>
      <w:r w:rsidR="00752006" w:rsidRPr="00752006">
        <w:rPr>
          <w:rFonts w:ascii="Times New Roman" w:hAnsi="Times New Roman"/>
          <w:spacing w:val="-2"/>
          <w:sz w:val="22"/>
          <w:szCs w:val="22"/>
        </w:rPr>
        <w:t xml:space="preserve"> </w:t>
      </w:r>
      <w:r w:rsidRPr="00752006">
        <w:rPr>
          <w:rFonts w:ascii="Times New Roman" w:hAnsi="Times New Roman"/>
          <w:spacing w:val="-2"/>
          <w:sz w:val="22"/>
          <w:szCs w:val="22"/>
        </w:rPr>
        <w:t>A</w:t>
      </w:r>
      <w:r w:rsidRPr="00752006">
        <w:rPr>
          <w:rFonts w:ascii="Times New Roman" w:hAnsi="Times New Roman"/>
          <w:sz w:val="22"/>
          <w:szCs w:val="22"/>
        </w:rPr>
        <w:t xml:space="preserve">ligning Maine’s alternative mortgage regulations with the federal regulations will level the playing field for State and federal financial institutions, while protecting Maine consumers in a manner similar to that of the CFPB. </w:t>
      </w:r>
    </w:p>
    <w:p w:rsidR="005D1E35" w:rsidRPr="00752006" w:rsidRDefault="005D1E35"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r w:rsidRPr="00752006">
        <w:rPr>
          <w:rFonts w:ascii="Times New Roman" w:hAnsi="Times New Roman"/>
          <w:sz w:val="22"/>
          <w:szCs w:val="22"/>
        </w:rPr>
        <w:t xml:space="preserve"> </w:t>
      </w:r>
    </w:p>
    <w:p w:rsidR="005D1E35" w:rsidRPr="00752006" w:rsidRDefault="005D1E35" w:rsidP="005077C7">
      <w:pPr>
        <w:tabs>
          <w:tab w:val="left" w:pos="720"/>
          <w:tab w:val="left" w:pos="1440"/>
          <w:tab w:val="left" w:pos="2160"/>
          <w:tab w:val="left" w:pos="2880"/>
        </w:tabs>
        <w:overflowPunct/>
        <w:autoSpaceDE/>
        <w:autoSpaceDN/>
        <w:adjustRightInd/>
        <w:ind w:right="90"/>
        <w:textAlignment w:val="auto"/>
        <w:rPr>
          <w:rFonts w:ascii="Times New Roman" w:hAnsi="Times New Roman"/>
          <w:sz w:val="22"/>
          <w:szCs w:val="22"/>
        </w:rPr>
      </w:pPr>
      <w:r w:rsidRPr="00752006">
        <w:rPr>
          <w:rFonts w:ascii="Times New Roman" w:hAnsi="Times New Roman"/>
          <w:sz w:val="22"/>
          <w:szCs w:val="22"/>
        </w:rPr>
        <w:t>Protection for alternative mortgage borrowers is found in this promulgation and in truth-in-lending regulations.</w:t>
      </w:r>
      <w:r w:rsidR="00752006" w:rsidRPr="00752006">
        <w:rPr>
          <w:rFonts w:ascii="Times New Roman" w:hAnsi="Times New Roman"/>
          <w:sz w:val="22"/>
          <w:szCs w:val="22"/>
        </w:rPr>
        <w:t xml:space="preserve"> </w:t>
      </w:r>
      <w:r w:rsidRPr="00752006">
        <w:rPr>
          <w:rFonts w:ascii="Times New Roman" w:hAnsi="Times New Roman"/>
          <w:sz w:val="22"/>
          <w:szCs w:val="22"/>
        </w:rPr>
        <w:t xml:space="preserve">Creditors and financial institutions are reminded that they are still subject to the provisions of the </w:t>
      </w:r>
      <w:r w:rsidRPr="00B45A69">
        <w:rPr>
          <w:rFonts w:ascii="Times New Roman" w:hAnsi="Times New Roman"/>
          <w:i/>
          <w:sz w:val="22"/>
          <w:szCs w:val="22"/>
        </w:rPr>
        <w:t>Maine Consumer Credit Code</w:t>
      </w:r>
      <w:r w:rsidRPr="00752006">
        <w:rPr>
          <w:rFonts w:ascii="Times New Roman" w:hAnsi="Times New Roman"/>
          <w:sz w:val="22"/>
          <w:szCs w:val="22"/>
        </w:rPr>
        <w:t xml:space="preserve"> including, but not limited to, Article VIII-A (Truth-in-Lending), as</w:t>
      </w:r>
      <w:r w:rsidR="005077C7">
        <w:rPr>
          <w:rFonts w:ascii="Times New Roman" w:hAnsi="Times New Roman"/>
          <w:sz w:val="22"/>
          <w:szCs w:val="22"/>
        </w:rPr>
        <w:t> </w:t>
      </w:r>
      <w:r w:rsidRPr="00752006">
        <w:rPr>
          <w:rFonts w:ascii="Times New Roman" w:hAnsi="Times New Roman"/>
          <w:sz w:val="22"/>
          <w:szCs w:val="22"/>
        </w:rPr>
        <w:t>applicable.</w:t>
      </w:r>
    </w:p>
    <w:p w:rsidR="005D1E35" w:rsidRDefault="005D1E35" w:rsidP="005077C7">
      <w:pPr>
        <w:pBdr>
          <w:bottom w:val="single" w:sz="4" w:space="1" w:color="auto"/>
        </w:pBd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077C7" w:rsidRDefault="005077C7"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077C7" w:rsidRPr="00752006" w:rsidRDefault="005077C7" w:rsidP="007A12D2">
      <w:pPr>
        <w:tabs>
          <w:tab w:val="left" w:pos="720"/>
          <w:tab w:val="left" w:pos="1440"/>
          <w:tab w:val="left" w:pos="2160"/>
          <w:tab w:val="left" w:pos="2880"/>
        </w:tabs>
        <w:overflowPunct/>
        <w:autoSpaceDE/>
        <w:autoSpaceDN/>
        <w:adjustRightInd/>
        <w:textAlignment w:val="auto"/>
        <w:rPr>
          <w:rFonts w:ascii="Times New Roman" w:hAnsi="Times New Roman"/>
          <w:sz w:val="22"/>
          <w:szCs w:val="22"/>
        </w:rPr>
      </w:pPr>
    </w:p>
    <w:p w:rsidR="005D1E35"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Pr>
          <w:rFonts w:ascii="Times New Roman" w:hAnsi="Times New Roman"/>
          <w:b/>
          <w:spacing w:val="-1"/>
          <w:sz w:val="22"/>
          <w:szCs w:val="22"/>
        </w:rPr>
        <w:t>SECTION 1</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5077C7">
      <w:pPr>
        <w:numPr>
          <w:ilvl w:val="0"/>
          <w:numId w:val="2"/>
        </w:numPr>
        <w:tabs>
          <w:tab w:val="left" w:pos="720"/>
          <w:tab w:val="left" w:pos="1440"/>
          <w:tab w:val="left" w:pos="2160"/>
          <w:tab w:val="left" w:pos="2880"/>
          <w:tab w:val="left" w:pos="3600"/>
          <w:tab w:val="left" w:pos="4320"/>
        </w:tabs>
        <w:ind w:firstLine="0"/>
        <w:jc w:val="both"/>
        <w:rPr>
          <w:rFonts w:ascii="Times New Roman" w:hAnsi="Times New Roman"/>
          <w:spacing w:val="-1"/>
          <w:sz w:val="22"/>
          <w:szCs w:val="22"/>
        </w:rPr>
      </w:pPr>
      <w:r w:rsidRPr="00752006">
        <w:rPr>
          <w:rFonts w:ascii="Times New Roman" w:hAnsi="Times New Roman"/>
          <w:b/>
          <w:spacing w:val="-1"/>
          <w:sz w:val="22"/>
          <w:szCs w:val="22"/>
        </w:rPr>
        <w:t>Authority</w:t>
      </w:r>
    </w:p>
    <w:p w:rsidR="005D1E35" w:rsidRPr="00752006" w:rsidRDefault="005D1E35" w:rsidP="005077C7">
      <w:pPr>
        <w:tabs>
          <w:tab w:val="left" w:pos="720"/>
          <w:tab w:val="left" w:pos="1440"/>
          <w:tab w:val="left" w:pos="2160"/>
          <w:tab w:val="left" w:pos="2880"/>
          <w:tab w:val="left" w:pos="3600"/>
          <w:tab w:val="left" w:pos="4320"/>
        </w:tabs>
        <w:overflowPunct/>
        <w:autoSpaceDE/>
        <w:autoSpaceDN/>
        <w:adjustRightInd/>
        <w:ind w:left="720" w:hanging="720"/>
        <w:textAlignment w:val="auto"/>
        <w:rPr>
          <w:rFonts w:ascii="Times New Roman" w:hAnsi="Times New Roman"/>
          <w:sz w:val="22"/>
          <w:szCs w:val="22"/>
        </w:rPr>
      </w:pPr>
    </w:p>
    <w:p w:rsidR="005D1E35" w:rsidRPr="00752006" w:rsidRDefault="005D1E35" w:rsidP="005077C7">
      <w:pPr>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r w:rsidRPr="00752006">
        <w:rPr>
          <w:rFonts w:ascii="Times New Roman" w:hAnsi="Times New Roman"/>
          <w:sz w:val="22"/>
          <w:szCs w:val="22"/>
        </w:rPr>
        <w:t>This rule is promulgated pursuant to 9-A M.R.S. §§ 1-102(2), 1-110, 6-104(1</w:t>
      </w:r>
      <w:proofErr w:type="gramStart"/>
      <w:r w:rsidRPr="00752006">
        <w:rPr>
          <w:rFonts w:ascii="Times New Roman" w:hAnsi="Times New Roman"/>
          <w:sz w:val="22"/>
          <w:szCs w:val="22"/>
        </w:rPr>
        <w:t>)(</w:t>
      </w:r>
      <w:proofErr w:type="gramEnd"/>
      <w:r w:rsidRPr="00752006">
        <w:rPr>
          <w:rFonts w:ascii="Times New Roman" w:hAnsi="Times New Roman"/>
          <w:sz w:val="22"/>
          <w:szCs w:val="22"/>
        </w:rPr>
        <w:t>E), 8-504, 8-507(1), 8-508, 9-302(1) and 9-B M.R.S. §§ 111, 215, and 241(3).</w:t>
      </w:r>
      <w:r w:rsidRPr="00752006">
        <w:rPr>
          <w:rFonts w:ascii="Times New Roman" w:hAnsi="Times New Roman"/>
          <w:spacing w:val="-1"/>
          <w:sz w:val="22"/>
          <w:szCs w:val="22"/>
        </w:rPr>
        <w:tab/>
      </w:r>
    </w:p>
    <w:p w:rsidR="005D1E35"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077C7"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077C7"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Pr>
          <w:rFonts w:ascii="Times New Roman" w:hAnsi="Times New Roman"/>
          <w:b/>
          <w:spacing w:val="-1"/>
          <w:sz w:val="22"/>
          <w:szCs w:val="22"/>
        </w:rPr>
        <w:t>SECTION 2</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7B0EEF">
      <w:pPr>
        <w:numPr>
          <w:ilvl w:val="0"/>
          <w:numId w:val="5"/>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Purpose</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61157B">
      <w:pPr>
        <w:tabs>
          <w:tab w:val="left" w:pos="720"/>
          <w:tab w:val="left" w:pos="1440"/>
          <w:tab w:val="left" w:pos="2160"/>
          <w:tab w:val="left" w:pos="2880"/>
          <w:tab w:val="left" w:pos="3600"/>
          <w:tab w:val="left" w:pos="4320"/>
        </w:tabs>
        <w:ind w:left="1440" w:right="-180"/>
        <w:rPr>
          <w:rFonts w:ascii="Times New Roman" w:hAnsi="Times New Roman"/>
          <w:spacing w:val="-1"/>
          <w:sz w:val="22"/>
          <w:szCs w:val="22"/>
        </w:rPr>
      </w:pPr>
      <w:r w:rsidRPr="00752006">
        <w:rPr>
          <w:rFonts w:ascii="Times New Roman" w:hAnsi="Times New Roman"/>
          <w:sz w:val="22"/>
          <w:szCs w:val="22"/>
        </w:rPr>
        <w:t>This rule repeals and replaces the former Alternative Mortgage Transactions Joint Rule (former Bureau of Financial Institutions Regulation 19 and former Bureau of Consumer Credit Protection Rule 250).</w:t>
      </w:r>
      <w:r w:rsidRPr="00752006">
        <w:rPr>
          <w:rFonts w:ascii="Times New Roman" w:hAnsi="Times New Roman"/>
          <w:spacing w:val="-1"/>
          <w:sz w:val="22"/>
          <w:szCs w:val="22"/>
        </w:rPr>
        <w:t xml:space="preserve"> The purpose of this rule is to regulate alternative mortgage transactions "made or entered into in this State," as that term is defined in 9-A M.R.S. §§</w:t>
      </w:r>
      <w:r w:rsidR="0061157B">
        <w:rPr>
          <w:rFonts w:ascii="Times New Roman" w:hAnsi="Times New Roman"/>
          <w:spacing w:val="-1"/>
          <w:sz w:val="22"/>
          <w:szCs w:val="22"/>
        </w:rPr>
        <w:t> </w:t>
      </w:r>
      <w:r w:rsidRPr="00752006">
        <w:rPr>
          <w:rFonts w:ascii="Times New Roman" w:hAnsi="Times New Roman"/>
          <w:spacing w:val="-1"/>
          <w:sz w:val="22"/>
          <w:szCs w:val="22"/>
        </w:rPr>
        <w:t>1</w:t>
      </w:r>
      <w:r w:rsidR="0061157B">
        <w:rPr>
          <w:rFonts w:ascii="Times New Roman" w:hAnsi="Times New Roman"/>
          <w:spacing w:val="-1"/>
          <w:sz w:val="22"/>
          <w:szCs w:val="22"/>
        </w:rPr>
        <w:noBreakHyphen/>
      </w:r>
      <w:proofErr w:type="gramStart"/>
      <w:r w:rsidRPr="00752006">
        <w:rPr>
          <w:rFonts w:ascii="Times New Roman" w:hAnsi="Times New Roman"/>
          <w:spacing w:val="-1"/>
          <w:sz w:val="22"/>
          <w:szCs w:val="22"/>
        </w:rPr>
        <w:t>201(</w:t>
      </w:r>
      <w:proofErr w:type="gramEnd"/>
      <w:r w:rsidRPr="00752006">
        <w:rPr>
          <w:rFonts w:ascii="Times New Roman" w:hAnsi="Times New Roman"/>
          <w:spacing w:val="-1"/>
          <w:sz w:val="22"/>
          <w:szCs w:val="22"/>
        </w:rPr>
        <w:t>1)(A) and 1-201(1)(B), by creditors and financial institutions</w:t>
      </w:r>
      <w:r w:rsidRPr="00752006">
        <w:rPr>
          <w:rFonts w:ascii="Times New Roman" w:hAnsi="Times New Roman"/>
          <w:b/>
          <w:spacing w:val="-1"/>
          <w:sz w:val="22"/>
          <w:szCs w:val="22"/>
        </w:rPr>
        <w:t xml:space="preserve"> </w:t>
      </w:r>
      <w:r w:rsidRPr="00752006">
        <w:rPr>
          <w:rFonts w:ascii="Times New Roman" w:hAnsi="Times New Roman"/>
          <w:spacing w:val="-1"/>
          <w:sz w:val="22"/>
          <w:szCs w:val="22"/>
        </w:rPr>
        <w:t>in such manner as to:</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Provide adequate and consistent consumer protections;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Align State regulation with federal regulation to ease compliance burdens;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Assure an adequate and consistent supply of funds to consumers for home mortgages;</w:t>
      </w:r>
    </w:p>
    <w:p w:rsidR="005D1E35" w:rsidRPr="00752006" w:rsidRDefault="005D1E35" w:rsidP="007B0EEF">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lastRenderedPageBreak/>
        <w:t>Allow lenders and consumers to share the risk of rising interest rates to encourage mortgage lending;</w:t>
      </w:r>
    </w:p>
    <w:p w:rsidR="005D1E35" w:rsidRPr="00752006" w:rsidRDefault="005D1E35" w:rsidP="005077C7">
      <w:pPr>
        <w:pStyle w:val="ListParagraph"/>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7B0EEF">
      <w:pPr>
        <w:numPr>
          <w:ilvl w:val="0"/>
          <w:numId w:val="1"/>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Permit fair mortgage lending instruments that are responsive to the needs of consumers and lenders; and</w:t>
      </w: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b/>
          <w:spacing w:val="-1"/>
          <w:sz w:val="22"/>
          <w:szCs w:val="22"/>
        </w:rPr>
      </w:pPr>
      <w:r w:rsidRPr="00752006">
        <w:rPr>
          <w:rFonts w:ascii="Times New Roman" w:hAnsi="Times New Roman"/>
          <w:b/>
          <w:spacing w:val="-1"/>
          <w:sz w:val="22"/>
          <w:szCs w:val="22"/>
        </w:rPr>
        <w:t>SECTION 3</w:t>
      </w: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spacing w:val="-1"/>
          <w:sz w:val="22"/>
          <w:szCs w:val="22"/>
        </w:rPr>
      </w:pPr>
    </w:p>
    <w:p w:rsidR="005D1E35" w:rsidRPr="00752006" w:rsidRDefault="005D1E35" w:rsidP="007B0EEF">
      <w:pPr>
        <w:numPr>
          <w:ilvl w:val="0"/>
          <w:numId w:val="6"/>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Definitions</w:t>
      </w:r>
    </w:p>
    <w:p w:rsidR="005D1E35" w:rsidRPr="00752006" w:rsidRDefault="005D1E35" w:rsidP="005077C7">
      <w:pPr>
        <w:tabs>
          <w:tab w:val="left" w:pos="720"/>
          <w:tab w:val="left" w:pos="1440"/>
          <w:tab w:val="left" w:pos="2160"/>
          <w:tab w:val="left" w:pos="2880"/>
          <w:tab w:val="left" w:pos="3600"/>
          <w:tab w:val="left" w:pos="4320"/>
        </w:tabs>
        <w:ind w:left="1080" w:hanging="1080"/>
        <w:rPr>
          <w:rFonts w:ascii="Times New Roman" w:hAnsi="Times New Roman"/>
          <w:spacing w:val="-1"/>
          <w:sz w:val="22"/>
          <w:szCs w:val="22"/>
        </w:rPr>
      </w:pPr>
    </w:p>
    <w:p w:rsidR="005D1E35" w:rsidRPr="00752006" w:rsidRDefault="005D1E35" w:rsidP="007B0EEF">
      <w:pPr>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r w:rsidRPr="00752006">
        <w:rPr>
          <w:rFonts w:ascii="Times New Roman" w:hAnsi="Times New Roman"/>
          <w:spacing w:val="-1"/>
          <w:sz w:val="22"/>
          <w:szCs w:val="22"/>
        </w:rPr>
        <w:t>As used in this rule, the following terms have the following meanings, unless the context clearly requires otherwise:</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752006">
        <w:rPr>
          <w:rFonts w:ascii="Times New Roman" w:hAnsi="Times New Roman"/>
          <w:spacing w:val="-1"/>
          <w:sz w:val="22"/>
          <w:szCs w:val="22"/>
        </w:rPr>
        <w:t>"Alternative mortgage transaction” means a loan, credit sale, or account:</w:t>
      </w:r>
    </w:p>
    <w:p w:rsidR="005D1E35" w:rsidRPr="00752006" w:rsidRDefault="005D1E35" w:rsidP="005077C7">
      <w:pPr>
        <w:tabs>
          <w:tab w:val="left" w:pos="720"/>
          <w:tab w:val="left" w:pos="1440"/>
          <w:tab w:val="left" w:pos="2160"/>
          <w:tab w:val="left" w:pos="2880"/>
          <w:tab w:val="left" w:pos="3600"/>
          <w:tab w:val="left" w:pos="4320"/>
        </w:tabs>
        <w:ind w:left="108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That is secured by an interest in a residential structure that contains one to four units, whether or not that structure is attached to real property, including an individual condominium unit, cooperative unit, mobile home, or trailer, if it is used as a residence;</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 xml:space="preserve">That is made primarily for personal, family, or household purposes; </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In which the interest rate or finance charge may be adjusted or renegotiated; and</w:t>
      </w:r>
    </w:p>
    <w:p w:rsidR="005D1E35" w:rsidRPr="00752006" w:rsidRDefault="005D1E35" w:rsidP="007B0EEF">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7B0EEF">
      <w:pPr>
        <w:numPr>
          <w:ilvl w:val="0"/>
          <w:numId w:val="12"/>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That is secured by a first lien interest in the property, other than a f</w:t>
      </w:r>
      <w:r w:rsidR="007B0EEF">
        <w:rPr>
          <w:rFonts w:ascii="Times New Roman" w:hAnsi="Times New Roman"/>
          <w:spacing w:val="-1"/>
          <w:sz w:val="22"/>
          <w:szCs w:val="22"/>
        </w:rPr>
        <w:t>irst lien open-end credit plan.</w:t>
      </w:r>
    </w:p>
    <w:p w:rsidR="005D1E35" w:rsidRPr="00752006" w:rsidRDefault="005D1E35" w:rsidP="005077C7">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right="-180" w:hanging="720"/>
        <w:rPr>
          <w:rFonts w:ascii="Times New Roman" w:hAnsi="Times New Roman"/>
          <w:spacing w:val="-1"/>
          <w:sz w:val="22"/>
          <w:szCs w:val="22"/>
        </w:rPr>
      </w:pPr>
      <w:r w:rsidRPr="00752006">
        <w:rPr>
          <w:rFonts w:ascii="Times New Roman" w:hAnsi="Times New Roman"/>
          <w:spacing w:val="-1"/>
          <w:sz w:val="22"/>
          <w:szCs w:val="22"/>
        </w:rPr>
        <w:t>"Creditor" means a supervised lender, other than a supervised financial organization, as those terms are defined by 9-A M.R.S. §§ 1-301(39) and 1-301(38), respectively.</w:t>
      </w:r>
    </w:p>
    <w:p w:rsidR="005D1E35" w:rsidRPr="00752006" w:rsidRDefault="005D1E35" w:rsidP="007B0EEF">
      <w:pPr>
        <w:tabs>
          <w:tab w:val="left" w:pos="720"/>
          <w:tab w:val="left" w:pos="1440"/>
          <w:tab w:val="left" w:pos="2160"/>
          <w:tab w:val="left" w:pos="2880"/>
          <w:tab w:val="left" w:pos="3600"/>
          <w:tab w:val="left" w:pos="4320"/>
        </w:tabs>
        <w:ind w:left="2160" w:hanging="720"/>
        <w:jc w:val="both"/>
        <w:rPr>
          <w:rFonts w:ascii="Times New Roman" w:hAnsi="Times New Roman"/>
          <w:b/>
          <w:spacing w:val="-1"/>
          <w:sz w:val="22"/>
          <w:szCs w:val="22"/>
        </w:rPr>
      </w:pPr>
    </w:p>
    <w:p w:rsidR="005D1E35" w:rsidRPr="00752006" w:rsidRDefault="005D1E35" w:rsidP="007B0EEF">
      <w:pPr>
        <w:numPr>
          <w:ilvl w:val="0"/>
          <w:numId w:val="9"/>
        </w:numPr>
        <w:tabs>
          <w:tab w:val="left" w:pos="720"/>
          <w:tab w:val="left" w:pos="1440"/>
          <w:tab w:val="left" w:pos="2160"/>
          <w:tab w:val="left" w:pos="2880"/>
          <w:tab w:val="left" w:pos="3600"/>
          <w:tab w:val="left" w:pos="4320"/>
        </w:tabs>
        <w:ind w:left="2160" w:hanging="720"/>
        <w:jc w:val="both"/>
        <w:rPr>
          <w:rFonts w:ascii="Times New Roman" w:hAnsi="Times New Roman"/>
          <w:spacing w:val="-1"/>
          <w:sz w:val="22"/>
          <w:szCs w:val="22"/>
        </w:rPr>
      </w:pPr>
      <w:r w:rsidRPr="00752006">
        <w:rPr>
          <w:rFonts w:ascii="Times New Roman" w:hAnsi="Times New Roman"/>
          <w:spacing w:val="-1"/>
          <w:sz w:val="22"/>
          <w:szCs w:val="22"/>
        </w:rPr>
        <w:t>“Financial Institution” means a financial institution or credit union as defined by 9-B M.R.S. §§ 131(17) and 131(12).</w:t>
      </w:r>
    </w:p>
    <w:p w:rsidR="005D1E35"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7B0EEF" w:rsidRPr="00752006" w:rsidRDefault="007B0EEF"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r w:rsidRPr="00752006">
        <w:rPr>
          <w:rFonts w:ascii="Times New Roman" w:hAnsi="Times New Roman"/>
          <w:b/>
          <w:spacing w:val="-1"/>
          <w:sz w:val="22"/>
          <w:szCs w:val="22"/>
        </w:rPr>
        <w:t>SECTION 4</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b/>
          <w:spacing w:val="-1"/>
          <w:sz w:val="22"/>
          <w:szCs w:val="22"/>
        </w:rPr>
      </w:pPr>
    </w:p>
    <w:p w:rsidR="005D1E35" w:rsidRPr="00752006" w:rsidRDefault="005D1E35" w:rsidP="002D3260">
      <w:pPr>
        <w:numPr>
          <w:ilvl w:val="0"/>
          <w:numId w:val="7"/>
        </w:numPr>
        <w:tabs>
          <w:tab w:val="left" w:pos="720"/>
          <w:tab w:val="left" w:pos="1440"/>
          <w:tab w:val="left" w:pos="2160"/>
          <w:tab w:val="left" w:pos="2880"/>
          <w:tab w:val="left" w:pos="3600"/>
          <w:tab w:val="left" w:pos="4320"/>
        </w:tabs>
        <w:ind w:left="1440" w:hanging="720"/>
        <w:jc w:val="both"/>
        <w:rPr>
          <w:rFonts w:ascii="Times New Roman" w:hAnsi="Times New Roman"/>
          <w:spacing w:val="-1"/>
          <w:sz w:val="22"/>
          <w:szCs w:val="22"/>
        </w:rPr>
      </w:pPr>
      <w:r w:rsidRPr="00752006">
        <w:rPr>
          <w:rFonts w:ascii="Times New Roman" w:hAnsi="Times New Roman"/>
          <w:b/>
          <w:spacing w:val="-1"/>
          <w:sz w:val="22"/>
          <w:szCs w:val="22"/>
        </w:rPr>
        <w:t>Authorizations and limitations</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Authorization to make alternative mortgages</w:t>
      </w:r>
      <w:r w:rsidRPr="00752006">
        <w:rPr>
          <w:rFonts w:ascii="Times New Roman" w:hAnsi="Times New Roman"/>
          <w:i/>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 creditor 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 xml:space="preserve">may engage in an alternative mortgage transaction subject to the requirements and limitations of this rule. </w:t>
      </w:r>
    </w:p>
    <w:p w:rsidR="005D1E35" w:rsidRPr="00752006" w:rsidRDefault="005D1E35" w:rsidP="00914168">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Mortgages with adjustable rates or finance charges</w:t>
      </w:r>
      <w:r w:rsidRPr="00752006">
        <w:rPr>
          <w:rFonts w:ascii="Times New Roman" w:hAnsi="Times New Roman"/>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 creditor 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 xml:space="preserve">that makes an alternative mortgage transaction with an adjustable rate or finance charge may only increase the interest rate or finance charge as follows: </w:t>
      </w:r>
    </w:p>
    <w:p w:rsidR="005D1E35" w:rsidRPr="00752006" w:rsidRDefault="005D1E35" w:rsidP="005077C7">
      <w:pPr>
        <w:tabs>
          <w:tab w:val="left" w:pos="720"/>
          <w:tab w:val="left" w:pos="1440"/>
          <w:tab w:val="left" w:pos="2160"/>
          <w:tab w:val="left" w:pos="2880"/>
          <w:tab w:val="left" w:pos="3600"/>
          <w:tab w:val="left" w:pos="4320"/>
        </w:tabs>
        <w:jc w:val="both"/>
        <w:rPr>
          <w:rFonts w:ascii="Times New Roman" w:hAnsi="Times New Roman"/>
          <w:spacing w:val="-1"/>
          <w:sz w:val="22"/>
          <w:szCs w:val="22"/>
        </w:rPr>
      </w:pPr>
    </w:p>
    <w:p w:rsidR="005D1E35" w:rsidRPr="00752006" w:rsidRDefault="005D1E35" w:rsidP="00896C75">
      <w:pPr>
        <w:keepNext/>
        <w:keepLines/>
        <w:numPr>
          <w:ilvl w:val="0"/>
          <w:numId w:val="4"/>
        </w:numPr>
        <w:tabs>
          <w:tab w:val="left" w:pos="720"/>
          <w:tab w:val="left" w:pos="1440"/>
          <w:tab w:val="left" w:pos="2160"/>
          <w:tab w:val="left" w:pos="2880"/>
          <w:tab w:val="left" w:pos="3600"/>
          <w:tab w:val="left" w:pos="4320"/>
        </w:tabs>
        <w:ind w:left="2160" w:firstLine="0"/>
        <w:jc w:val="both"/>
        <w:rPr>
          <w:rFonts w:ascii="Times New Roman" w:hAnsi="Times New Roman"/>
          <w:spacing w:val="-1"/>
          <w:sz w:val="22"/>
          <w:szCs w:val="22"/>
        </w:rPr>
      </w:pPr>
      <w:r w:rsidRPr="00752006">
        <w:rPr>
          <w:rFonts w:ascii="Times New Roman" w:hAnsi="Times New Roman"/>
          <w:spacing w:val="-1"/>
          <w:sz w:val="22"/>
          <w:szCs w:val="22"/>
        </w:rPr>
        <w:lastRenderedPageBreak/>
        <w:t xml:space="preserve">The creditor or financial institution shall use either: </w:t>
      </w:r>
    </w:p>
    <w:p w:rsidR="005D1E35" w:rsidRPr="00752006" w:rsidRDefault="005D1E35" w:rsidP="00896C75">
      <w:pPr>
        <w:keepNext/>
        <w:keepLines/>
        <w:tabs>
          <w:tab w:val="left" w:pos="720"/>
          <w:tab w:val="left" w:pos="1440"/>
          <w:tab w:val="left" w:pos="2160"/>
          <w:tab w:val="left" w:pos="2880"/>
          <w:tab w:val="left" w:pos="3600"/>
          <w:tab w:val="left" w:pos="4320"/>
        </w:tabs>
        <w:ind w:left="1440"/>
        <w:jc w:val="both"/>
        <w:rPr>
          <w:rFonts w:ascii="Times New Roman" w:hAnsi="Times New Roman"/>
          <w:spacing w:val="-1"/>
          <w:sz w:val="22"/>
          <w:szCs w:val="22"/>
        </w:rPr>
      </w:pPr>
    </w:p>
    <w:p w:rsidR="005D1E35" w:rsidRPr="00752006" w:rsidRDefault="005D1E35" w:rsidP="00896C75">
      <w:pPr>
        <w:keepNext/>
        <w:keepLines/>
        <w:numPr>
          <w:ilvl w:val="0"/>
          <w:numId w:val="3"/>
        </w:num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r w:rsidRPr="00752006">
        <w:rPr>
          <w:rFonts w:ascii="Times New Roman" w:hAnsi="Times New Roman"/>
          <w:spacing w:val="-1"/>
          <w:sz w:val="22"/>
          <w:szCs w:val="22"/>
        </w:rPr>
        <w:t>An index to which changes in the interest rate are tied that is readily available to and verifiable by the borrower and beyond the control of the creditor or financial institution: or</w:t>
      </w:r>
    </w:p>
    <w:p w:rsidR="005D1E35" w:rsidRPr="00752006" w:rsidRDefault="005D1E35" w:rsidP="002D3260">
      <w:p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p>
    <w:p w:rsidR="005D1E35" w:rsidRPr="00752006" w:rsidRDefault="005D1E35" w:rsidP="002D3260">
      <w:pPr>
        <w:numPr>
          <w:ilvl w:val="0"/>
          <w:numId w:val="3"/>
        </w:numPr>
        <w:tabs>
          <w:tab w:val="left" w:pos="720"/>
          <w:tab w:val="left" w:pos="1440"/>
          <w:tab w:val="left" w:pos="2160"/>
          <w:tab w:val="left" w:pos="2880"/>
          <w:tab w:val="left" w:pos="3600"/>
          <w:tab w:val="left" w:pos="4320"/>
        </w:tabs>
        <w:ind w:left="3600" w:hanging="720"/>
        <w:rPr>
          <w:rFonts w:ascii="Times New Roman" w:hAnsi="Times New Roman"/>
          <w:spacing w:val="-1"/>
          <w:sz w:val="22"/>
          <w:szCs w:val="22"/>
        </w:rPr>
      </w:pPr>
      <w:r w:rsidRPr="00752006">
        <w:rPr>
          <w:rFonts w:ascii="Times New Roman" w:hAnsi="Times New Roman"/>
          <w:spacing w:val="-1"/>
          <w:sz w:val="22"/>
          <w:szCs w:val="22"/>
        </w:rPr>
        <w:t>A formula or schedule identifying the amount that the interest rate or finance charge may increase and the times at which, or circumstances under which, a change may be made.</w:t>
      </w:r>
    </w:p>
    <w:p w:rsidR="005D1E35" w:rsidRPr="00752006" w:rsidRDefault="005D1E35" w:rsidP="005077C7">
      <w:pPr>
        <w:pStyle w:val="ListParagraph"/>
        <w:tabs>
          <w:tab w:val="left" w:pos="720"/>
          <w:tab w:val="left" w:pos="1440"/>
          <w:tab w:val="left" w:pos="2160"/>
          <w:tab w:val="left" w:pos="2880"/>
          <w:tab w:val="left" w:pos="3600"/>
          <w:tab w:val="left" w:pos="4320"/>
        </w:tabs>
        <w:ind w:left="1080"/>
        <w:jc w:val="both"/>
        <w:rPr>
          <w:rFonts w:ascii="Times New Roman" w:hAnsi="Times New Roman"/>
          <w:spacing w:val="-1"/>
          <w:sz w:val="22"/>
          <w:szCs w:val="22"/>
        </w:rPr>
      </w:pPr>
    </w:p>
    <w:p w:rsidR="005D1E35" w:rsidRPr="00896C75" w:rsidRDefault="005D1E35" w:rsidP="00914168">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Renegotiable rates for renewable balloon-payment mortgages</w:t>
      </w:r>
      <w:r w:rsidRPr="00896C75">
        <w:rPr>
          <w:rFonts w:ascii="Times New Roman" w:hAnsi="Times New Roman"/>
          <w:spacing w:val="-1"/>
          <w:sz w:val="22"/>
          <w:szCs w:val="22"/>
        </w:rPr>
        <w:t>.</w:t>
      </w:r>
      <w:r w:rsidR="00752006" w:rsidRPr="00896C75">
        <w:rPr>
          <w:rFonts w:ascii="Times New Roman" w:hAnsi="Times New Roman"/>
          <w:spacing w:val="-1"/>
          <w:sz w:val="22"/>
          <w:szCs w:val="22"/>
        </w:rPr>
        <w:t xml:space="preserve"> </w:t>
      </w:r>
      <w:r w:rsidRPr="00896C75">
        <w:rPr>
          <w:rFonts w:ascii="Times New Roman" w:hAnsi="Times New Roman"/>
          <w:spacing w:val="-1"/>
          <w:sz w:val="22"/>
          <w:szCs w:val="22"/>
        </w:rPr>
        <w:t>A creditor or financial institution that makes an alternative mortgage transaction with payments based on an amortization period and a large final payment due after a shorter term may negotiate an increase or decrease in the interest rate when the transaction is renewed only if the creditor or financial institution makes a written commitment to renew the transaction at specified intervals throughout the amortization period.</w:t>
      </w:r>
      <w:r w:rsidR="00752006" w:rsidRPr="00896C75">
        <w:rPr>
          <w:rFonts w:ascii="Times New Roman" w:hAnsi="Times New Roman"/>
          <w:spacing w:val="-1"/>
          <w:sz w:val="22"/>
          <w:szCs w:val="22"/>
        </w:rPr>
        <w:t xml:space="preserve"> </w:t>
      </w:r>
      <w:r w:rsidRPr="00896C75">
        <w:rPr>
          <w:rFonts w:ascii="Times New Roman" w:hAnsi="Times New Roman"/>
          <w:spacing w:val="-1"/>
          <w:sz w:val="22"/>
          <w:szCs w:val="22"/>
        </w:rPr>
        <w:t>However, the creditor or financial institution is not required to renew the transaction if:</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Any action or inaction by the consumer materially and adversely affects the creditor’s or financial institution’s security for the transaction or any right of the creditor or financial institution in such security;</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There is a material failure by the consumer to meet the repayment terms of the transaction;</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r w:rsidRPr="00752006">
        <w:rPr>
          <w:rFonts w:ascii="Times New Roman" w:hAnsi="Times New Roman"/>
          <w:spacing w:val="-1"/>
          <w:sz w:val="22"/>
          <w:szCs w:val="22"/>
        </w:rPr>
        <w:t>There is fraud or willful or knowing material misrepresentation by the consumer in connection with the transaction; or</w:t>
      </w:r>
    </w:p>
    <w:p w:rsidR="005D1E35" w:rsidRPr="00752006" w:rsidRDefault="005D1E35" w:rsidP="00896C75">
      <w:pPr>
        <w:tabs>
          <w:tab w:val="left" w:pos="720"/>
          <w:tab w:val="left" w:pos="1440"/>
          <w:tab w:val="left" w:pos="2160"/>
          <w:tab w:val="left" w:pos="2880"/>
          <w:tab w:val="left" w:pos="3600"/>
          <w:tab w:val="left" w:pos="4320"/>
        </w:tabs>
        <w:ind w:left="2880" w:hanging="720"/>
        <w:rPr>
          <w:rFonts w:ascii="Times New Roman" w:hAnsi="Times New Roman"/>
          <w:spacing w:val="-1"/>
          <w:sz w:val="22"/>
          <w:szCs w:val="22"/>
        </w:rPr>
      </w:pPr>
    </w:p>
    <w:p w:rsidR="005D1E35" w:rsidRPr="00752006" w:rsidRDefault="005D1E35" w:rsidP="00896C75">
      <w:pPr>
        <w:numPr>
          <w:ilvl w:val="0"/>
          <w:numId w:val="11"/>
        </w:numPr>
        <w:tabs>
          <w:tab w:val="left" w:pos="720"/>
          <w:tab w:val="left" w:pos="1440"/>
          <w:tab w:val="left" w:pos="2160"/>
          <w:tab w:val="left" w:pos="2880"/>
          <w:tab w:val="left" w:pos="3600"/>
          <w:tab w:val="left" w:pos="4320"/>
        </w:tabs>
        <w:ind w:left="2880" w:right="-180" w:hanging="720"/>
        <w:rPr>
          <w:rFonts w:ascii="Times New Roman" w:hAnsi="Times New Roman"/>
          <w:spacing w:val="-1"/>
          <w:sz w:val="22"/>
          <w:szCs w:val="22"/>
        </w:rPr>
      </w:pPr>
      <w:r w:rsidRPr="00752006">
        <w:rPr>
          <w:rFonts w:ascii="Times New Roman" w:hAnsi="Times New Roman"/>
          <w:spacing w:val="-1"/>
          <w:sz w:val="22"/>
          <w:szCs w:val="22"/>
        </w:rPr>
        <w:t>Federal or State law dealing with credit extended by a financial institution to its executive officers specifically requires that as a condition of the extension the credit shall become due and payable on demand, provided that the financial institution includes such a provision in the initial agreement.</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Other requirements for and limitation on alternative mortgage transactions</w:t>
      </w:r>
      <w:r w:rsidRPr="00752006">
        <w:rPr>
          <w:rFonts w:ascii="Times New Roman" w:hAnsi="Times New Roman"/>
          <w:spacing w:val="-1"/>
          <w:sz w:val="22"/>
          <w:szCs w:val="22"/>
        </w:rPr>
        <w:t xml:space="preserve">. Other requirements for and limitation on alternative mortgage transactions include, for creditors and financial institutions, applicable truth-in-lending laws found in the </w:t>
      </w:r>
      <w:r w:rsidRPr="00B45A69">
        <w:rPr>
          <w:rFonts w:ascii="Times New Roman" w:hAnsi="Times New Roman"/>
          <w:i/>
          <w:spacing w:val="-1"/>
          <w:sz w:val="22"/>
          <w:szCs w:val="22"/>
        </w:rPr>
        <w:t>Maine Consumer Credit Code – Truth-in-Lending</w:t>
      </w:r>
      <w:r w:rsidRPr="00752006">
        <w:rPr>
          <w:rFonts w:ascii="Times New Roman" w:hAnsi="Times New Roman"/>
          <w:spacing w:val="-1"/>
          <w:sz w:val="22"/>
          <w:szCs w:val="22"/>
        </w:rPr>
        <w:t xml:space="preserve">, 9-A M.R.S. Article VIII-A. </w:t>
      </w:r>
    </w:p>
    <w:p w:rsidR="005D1E35" w:rsidRPr="00752006" w:rsidRDefault="005D1E35" w:rsidP="00896C75">
      <w:pPr>
        <w:tabs>
          <w:tab w:val="left" w:pos="720"/>
          <w:tab w:val="left" w:pos="1440"/>
          <w:tab w:val="left" w:pos="2160"/>
          <w:tab w:val="left" w:pos="2880"/>
          <w:tab w:val="left" w:pos="3600"/>
          <w:tab w:val="left" w:pos="4320"/>
        </w:tabs>
        <w:ind w:left="1440"/>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914168">
        <w:rPr>
          <w:rFonts w:ascii="Times New Roman" w:hAnsi="Times New Roman"/>
          <w:b/>
          <w:spacing w:val="-1"/>
          <w:sz w:val="22"/>
          <w:szCs w:val="22"/>
        </w:rPr>
        <w:t>Reductions in interest rate or finance charge</w:t>
      </w:r>
      <w:r w:rsidRPr="00752006">
        <w:rPr>
          <w:rFonts w:ascii="Times New Roman" w:hAnsi="Times New Roman"/>
          <w:i/>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Nothing in this section prohibits a creditor or financial institution from decreasing the interest rate or finance charge on an alternative mortgage transaction.</w:t>
      </w:r>
    </w:p>
    <w:p w:rsidR="005D1E35" w:rsidRPr="00752006" w:rsidRDefault="005D1E35" w:rsidP="00896C75">
      <w:p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p>
    <w:p w:rsidR="005D1E35" w:rsidRPr="00752006" w:rsidRDefault="005D1E35" w:rsidP="00896C75">
      <w:pPr>
        <w:numPr>
          <w:ilvl w:val="0"/>
          <w:numId w:val="10"/>
        </w:numPr>
        <w:tabs>
          <w:tab w:val="left" w:pos="720"/>
          <w:tab w:val="left" w:pos="1440"/>
          <w:tab w:val="left" w:pos="2160"/>
          <w:tab w:val="left" w:pos="2880"/>
          <w:tab w:val="left" w:pos="3600"/>
          <w:tab w:val="left" w:pos="4320"/>
        </w:tabs>
        <w:ind w:left="2160" w:hanging="720"/>
        <w:rPr>
          <w:rFonts w:ascii="Times New Roman" w:hAnsi="Times New Roman"/>
          <w:spacing w:val="-1"/>
          <w:sz w:val="22"/>
          <w:szCs w:val="22"/>
        </w:rPr>
      </w:pPr>
      <w:r w:rsidRPr="00896C75">
        <w:rPr>
          <w:rFonts w:ascii="Times New Roman" w:hAnsi="Times New Roman"/>
          <w:b/>
          <w:spacing w:val="-1"/>
          <w:sz w:val="22"/>
          <w:szCs w:val="22"/>
        </w:rPr>
        <w:t>Right to prepay</w:t>
      </w:r>
      <w:r w:rsidRPr="00752006">
        <w:rPr>
          <w:rFonts w:ascii="Times New Roman" w:hAnsi="Times New Roman"/>
          <w:spacing w:val="-1"/>
          <w:sz w:val="22"/>
          <w:szCs w:val="22"/>
        </w:rPr>
        <w:t>.</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A</w:t>
      </w:r>
      <w:r w:rsidRPr="00752006">
        <w:rPr>
          <w:rFonts w:ascii="Times New Roman" w:hAnsi="Times New Roman"/>
          <w:b/>
          <w:spacing w:val="-1"/>
          <w:sz w:val="22"/>
          <w:szCs w:val="22"/>
        </w:rPr>
        <w:t xml:space="preserve"> </w:t>
      </w:r>
      <w:r w:rsidRPr="00752006">
        <w:rPr>
          <w:rFonts w:ascii="Times New Roman" w:hAnsi="Times New Roman"/>
          <w:spacing w:val="-1"/>
          <w:sz w:val="22"/>
          <w:szCs w:val="22"/>
        </w:rPr>
        <w:t>creditor</w:t>
      </w:r>
      <w:r w:rsidRPr="00752006">
        <w:rPr>
          <w:rFonts w:ascii="Times New Roman" w:hAnsi="Times New Roman"/>
          <w:b/>
          <w:spacing w:val="-1"/>
          <w:sz w:val="22"/>
          <w:szCs w:val="22"/>
        </w:rPr>
        <w:t xml:space="preserve"> </w:t>
      </w:r>
      <w:r w:rsidRPr="00752006">
        <w:rPr>
          <w:rFonts w:ascii="Times New Roman" w:hAnsi="Times New Roman"/>
          <w:spacing w:val="-1"/>
          <w:sz w:val="22"/>
          <w:szCs w:val="22"/>
        </w:rPr>
        <w:t>or financial institution must allow borrowers to prepay in whole or in part without penalty at any time.</w:t>
      </w:r>
      <w:r w:rsidR="00752006" w:rsidRPr="00752006">
        <w:rPr>
          <w:rFonts w:ascii="Times New Roman" w:hAnsi="Times New Roman"/>
          <w:spacing w:val="-1"/>
          <w:sz w:val="22"/>
          <w:szCs w:val="22"/>
        </w:rPr>
        <w:t xml:space="preserve"> </w:t>
      </w:r>
      <w:r w:rsidRPr="00752006">
        <w:rPr>
          <w:rFonts w:ascii="Times New Roman" w:hAnsi="Times New Roman"/>
          <w:spacing w:val="-1"/>
          <w:sz w:val="22"/>
          <w:szCs w:val="22"/>
        </w:rPr>
        <w:t>Prepayments are a direct reduction on loan principal, unless otherwise agreed upon by the creditor</w:t>
      </w:r>
      <w:r w:rsidRPr="00752006">
        <w:rPr>
          <w:rFonts w:ascii="Times New Roman" w:hAnsi="Times New Roman"/>
          <w:b/>
          <w:spacing w:val="-1"/>
          <w:sz w:val="22"/>
          <w:szCs w:val="22"/>
        </w:rPr>
        <w:t xml:space="preserve"> </w:t>
      </w:r>
      <w:r w:rsidRPr="00752006">
        <w:rPr>
          <w:rFonts w:ascii="Times New Roman" w:hAnsi="Times New Roman"/>
          <w:spacing w:val="-1"/>
          <w:sz w:val="22"/>
          <w:szCs w:val="22"/>
        </w:rPr>
        <w:t>or financial institution</w:t>
      </w:r>
      <w:r w:rsidRPr="00752006">
        <w:rPr>
          <w:rFonts w:ascii="Times New Roman" w:hAnsi="Times New Roman"/>
          <w:b/>
          <w:spacing w:val="-1"/>
          <w:sz w:val="22"/>
          <w:szCs w:val="22"/>
        </w:rPr>
        <w:t xml:space="preserve"> </w:t>
      </w:r>
      <w:r w:rsidRPr="00752006">
        <w:rPr>
          <w:rFonts w:ascii="Times New Roman" w:hAnsi="Times New Roman"/>
          <w:spacing w:val="-1"/>
          <w:sz w:val="22"/>
          <w:szCs w:val="22"/>
        </w:rPr>
        <w:t>and borrower.</w:t>
      </w:r>
    </w:p>
    <w:p w:rsidR="00896C75" w:rsidRDefault="00896C75">
      <w:pPr>
        <w:overflowPunct/>
        <w:autoSpaceDE/>
        <w:autoSpaceDN/>
        <w:adjustRightInd/>
        <w:spacing w:after="200" w:line="276" w:lineRule="auto"/>
        <w:textAlignment w:val="auto"/>
        <w:rPr>
          <w:rFonts w:ascii="Times New Roman" w:hAnsi="Times New Roman"/>
          <w:spacing w:val="-1"/>
          <w:sz w:val="22"/>
          <w:szCs w:val="22"/>
        </w:rPr>
      </w:pPr>
      <w:r>
        <w:rPr>
          <w:rFonts w:ascii="Times New Roman" w:hAnsi="Times New Roman"/>
          <w:spacing w:val="-1"/>
          <w:sz w:val="22"/>
          <w:szCs w:val="22"/>
        </w:rPr>
        <w:br w:type="page"/>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spacing w:val="-1"/>
          <w:sz w:val="22"/>
          <w:szCs w:val="22"/>
        </w:rPr>
      </w:pP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b/>
          <w:spacing w:val="-1"/>
          <w:sz w:val="22"/>
          <w:szCs w:val="22"/>
        </w:rPr>
      </w:pPr>
      <w:r w:rsidRPr="00752006">
        <w:rPr>
          <w:rFonts w:ascii="Times New Roman" w:hAnsi="Times New Roman"/>
          <w:b/>
          <w:spacing w:val="-1"/>
          <w:sz w:val="22"/>
          <w:szCs w:val="22"/>
        </w:rPr>
        <w:t>SECTION 5</w:t>
      </w:r>
    </w:p>
    <w:p w:rsidR="005D1E35" w:rsidRPr="00752006" w:rsidRDefault="005D1E35" w:rsidP="00896C75">
      <w:pPr>
        <w:tabs>
          <w:tab w:val="left" w:pos="720"/>
          <w:tab w:val="left" w:pos="1440"/>
          <w:tab w:val="left" w:pos="2160"/>
          <w:tab w:val="left" w:pos="2880"/>
          <w:tab w:val="left" w:pos="3600"/>
          <w:tab w:val="left" w:pos="4320"/>
        </w:tabs>
        <w:rPr>
          <w:rFonts w:ascii="Times New Roman" w:hAnsi="Times New Roman"/>
          <w:b/>
          <w:spacing w:val="-1"/>
          <w:sz w:val="22"/>
          <w:szCs w:val="22"/>
        </w:rPr>
      </w:pPr>
    </w:p>
    <w:p w:rsidR="005D1E35" w:rsidRPr="00914168" w:rsidRDefault="005D1E35" w:rsidP="00F6224E">
      <w:pPr>
        <w:numPr>
          <w:ilvl w:val="0"/>
          <w:numId w:val="8"/>
        </w:numPr>
        <w:tabs>
          <w:tab w:val="left" w:pos="720"/>
          <w:tab w:val="left" w:pos="1440"/>
          <w:tab w:val="left" w:pos="2160"/>
          <w:tab w:val="left" w:pos="2880"/>
          <w:tab w:val="left" w:pos="3600"/>
          <w:tab w:val="left" w:pos="4320"/>
        </w:tabs>
        <w:ind w:left="1440" w:hanging="720"/>
        <w:rPr>
          <w:rFonts w:ascii="Times New Roman" w:hAnsi="Times New Roman"/>
          <w:b/>
          <w:spacing w:val="-1"/>
          <w:sz w:val="22"/>
          <w:szCs w:val="22"/>
          <w:u w:val="single"/>
        </w:rPr>
      </w:pPr>
      <w:r w:rsidRPr="00752006">
        <w:rPr>
          <w:rFonts w:ascii="Times New Roman" w:hAnsi="Times New Roman"/>
          <w:b/>
          <w:spacing w:val="-1"/>
          <w:sz w:val="22"/>
          <w:szCs w:val="22"/>
        </w:rPr>
        <w:t>ENFORCEMENT</w:t>
      </w:r>
    </w:p>
    <w:p w:rsidR="00914168" w:rsidRPr="00752006" w:rsidRDefault="00914168" w:rsidP="00914168">
      <w:pPr>
        <w:tabs>
          <w:tab w:val="left" w:pos="720"/>
          <w:tab w:val="left" w:pos="1440"/>
          <w:tab w:val="left" w:pos="2160"/>
          <w:tab w:val="left" w:pos="2880"/>
          <w:tab w:val="left" w:pos="3600"/>
          <w:tab w:val="left" w:pos="4320"/>
        </w:tabs>
        <w:ind w:left="360"/>
        <w:rPr>
          <w:rFonts w:ascii="Times New Roman" w:hAnsi="Times New Roman"/>
          <w:b/>
          <w:spacing w:val="-1"/>
          <w:sz w:val="22"/>
          <w:szCs w:val="22"/>
          <w:u w:val="single"/>
        </w:rPr>
      </w:pPr>
    </w:p>
    <w:p w:rsidR="005D1E35" w:rsidRPr="00752006" w:rsidRDefault="005D1E35" w:rsidP="00F6224E">
      <w:pPr>
        <w:tabs>
          <w:tab w:val="left" w:pos="720"/>
          <w:tab w:val="left" w:pos="1440"/>
          <w:tab w:val="left" w:pos="2160"/>
          <w:tab w:val="left" w:pos="2880"/>
          <w:tab w:val="left" w:pos="3600"/>
          <w:tab w:val="left" w:pos="4320"/>
        </w:tabs>
        <w:ind w:left="1440"/>
        <w:rPr>
          <w:rFonts w:ascii="Times New Roman" w:hAnsi="Times New Roman"/>
          <w:b/>
          <w:spacing w:val="-1"/>
          <w:sz w:val="22"/>
          <w:szCs w:val="22"/>
          <w:u w:val="single"/>
        </w:rPr>
      </w:pPr>
      <w:r w:rsidRPr="00752006">
        <w:rPr>
          <w:rFonts w:ascii="Times New Roman" w:hAnsi="Times New Roman"/>
          <w:spacing w:val="-1"/>
          <w:sz w:val="22"/>
          <w:szCs w:val="22"/>
        </w:rPr>
        <w:t>This regulation shall be enforced by the Bureau of Consumer Credit Protection for creditors and the Bureau of Financial Institutions for financial institutions.</w:t>
      </w:r>
    </w:p>
    <w:p w:rsidR="005D1E35" w:rsidRDefault="005D1E35" w:rsidP="00016971">
      <w:pPr>
        <w:pBdr>
          <w:bottom w:val="single" w:sz="4" w:space="1" w:color="auto"/>
        </w:pBdr>
        <w:tabs>
          <w:tab w:val="left" w:pos="-720"/>
        </w:tabs>
        <w:jc w:val="both"/>
        <w:rPr>
          <w:rFonts w:ascii="Times New Roman" w:hAnsi="Times New Roman"/>
          <w:spacing w:val="-1"/>
          <w:sz w:val="22"/>
          <w:szCs w:val="22"/>
        </w:rPr>
      </w:pPr>
    </w:p>
    <w:p w:rsidR="00914168" w:rsidRPr="00752006" w:rsidRDefault="00914168" w:rsidP="00016971">
      <w:pPr>
        <w:pBdr>
          <w:bottom w:val="single" w:sz="4" w:space="1" w:color="auto"/>
        </w:pBdr>
        <w:tabs>
          <w:tab w:val="left" w:pos="-720"/>
        </w:tabs>
        <w:jc w:val="both"/>
        <w:rPr>
          <w:rFonts w:ascii="Times New Roman" w:hAnsi="Times New Roman"/>
          <w:spacing w:val="-1"/>
          <w:sz w:val="22"/>
          <w:szCs w:val="22"/>
        </w:rPr>
      </w:pPr>
    </w:p>
    <w:p w:rsidR="005D1E35" w:rsidRPr="00752006" w:rsidRDefault="005D1E35" w:rsidP="007A12D2">
      <w:pPr>
        <w:tabs>
          <w:tab w:val="left" w:pos="-720"/>
        </w:tabs>
        <w:jc w:val="both"/>
        <w:rPr>
          <w:rFonts w:ascii="Times New Roman" w:hAnsi="Times New Roman"/>
          <w:spacing w:val="-1"/>
          <w:sz w:val="22"/>
          <w:szCs w:val="22"/>
        </w:rPr>
      </w:pPr>
    </w:p>
    <w:p w:rsidR="00907C42" w:rsidRDefault="00907C42" w:rsidP="007A12D2">
      <w:pPr>
        <w:rPr>
          <w:rFonts w:ascii="Times New Roman" w:hAnsi="Times New Roman"/>
          <w:sz w:val="22"/>
          <w:szCs w:val="22"/>
        </w:rPr>
      </w:pPr>
      <w:r w:rsidRPr="00752006">
        <w:rPr>
          <w:rFonts w:ascii="Times New Roman" w:hAnsi="Times New Roman"/>
          <w:sz w:val="22"/>
          <w:szCs w:val="22"/>
        </w:rPr>
        <w:t xml:space="preserve">Primary Sources of information relied upon by the Bureau in adopting the rule: 12 CFR 1004.1 – 1004.4; 12 CFR 1026.1 </w:t>
      </w:r>
      <w:r w:rsidR="000F3FA2" w:rsidRPr="000F3FA2">
        <w:rPr>
          <w:rFonts w:ascii="Times New Roman" w:hAnsi="Times New Roman"/>
          <w:i/>
          <w:sz w:val="22"/>
          <w:szCs w:val="22"/>
        </w:rPr>
        <w:t>et seq</w:t>
      </w:r>
      <w:r w:rsidRPr="00752006">
        <w:rPr>
          <w:rFonts w:ascii="Times New Roman" w:hAnsi="Times New Roman"/>
          <w:sz w:val="22"/>
          <w:szCs w:val="22"/>
        </w:rPr>
        <w:t xml:space="preserve">.; 12 USCS </w:t>
      </w:r>
      <w:r w:rsidR="007A12D2">
        <w:rPr>
          <w:rFonts w:ascii="Times New Roman" w:hAnsi="Times New Roman"/>
          <w:sz w:val="22"/>
          <w:szCs w:val="22"/>
        </w:rPr>
        <w:t>§</w:t>
      </w:r>
      <w:r w:rsidRPr="00752006">
        <w:rPr>
          <w:rFonts w:ascii="Times New Roman" w:hAnsi="Times New Roman"/>
          <w:sz w:val="22"/>
          <w:szCs w:val="22"/>
        </w:rPr>
        <w:t xml:space="preserve">1551 </w:t>
      </w:r>
      <w:r w:rsidR="000F3FA2" w:rsidRPr="000F3FA2">
        <w:rPr>
          <w:rFonts w:ascii="Times New Roman" w:hAnsi="Times New Roman"/>
          <w:i/>
          <w:sz w:val="22"/>
          <w:szCs w:val="22"/>
        </w:rPr>
        <w:t>et seq</w:t>
      </w:r>
      <w:r w:rsidRPr="00752006">
        <w:rPr>
          <w:rFonts w:ascii="Times New Roman" w:hAnsi="Times New Roman"/>
          <w:sz w:val="22"/>
          <w:szCs w:val="22"/>
        </w:rPr>
        <w:t xml:space="preserve">.; 12 USCS </w:t>
      </w:r>
      <w:r w:rsidR="007A12D2">
        <w:rPr>
          <w:rFonts w:ascii="Times New Roman" w:hAnsi="Times New Roman"/>
          <w:sz w:val="22"/>
          <w:szCs w:val="22"/>
        </w:rPr>
        <w:t>§</w:t>
      </w:r>
      <w:r w:rsidRPr="00752006">
        <w:rPr>
          <w:rFonts w:ascii="Times New Roman" w:hAnsi="Times New Roman"/>
          <w:sz w:val="22"/>
          <w:szCs w:val="22"/>
        </w:rPr>
        <w:t xml:space="preserve">8304 </w:t>
      </w:r>
      <w:r w:rsidR="000F3FA2" w:rsidRPr="000F3FA2">
        <w:rPr>
          <w:rFonts w:ascii="Times New Roman" w:hAnsi="Times New Roman"/>
          <w:i/>
          <w:sz w:val="22"/>
          <w:szCs w:val="22"/>
        </w:rPr>
        <w:t>et seq</w:t>
      </w:r>
      <w:r w:rsidRPr="00752006">
        <w:rPr>
          <w:rFonts w:ascii="Times New Roman" w:hAnsi="Times New Roman"/>
          <w:sz w:val="22"/>
          <w:szCs w:val="22"/>
        </w:rPr>
        <w:t>. ; Bureau of Financial Institutions/ Bureau of Consumer Credit Protection Joint Rule 19/250 ; 9-A M.R.S.§§ 1-102(2), 1-110, 6-104(1) (E), 8-504, 8-507(1), 8-508, 9-302; 9-B M.R.S. §§ 111, 215, 241(3)</w:t>
      </w:r>
    </w:p>
    <w:p w:rsidR="005077C7" w:rsidRDefault="005077C7" w:rsidP="005077C7">
      <w:pPr>
        <w:pBdr>
          <w:bottom w:val="single" w:sz="4" w:space="1" w:color="auto"/>
        </w:pBdr>
        <w:rPr>
          <w:rFonts w:ascii="Times New Roman" w:hAnsi="Times New Roman"/>
          <w:sz w:val="22"/>
          <w:szCs w:val="22"/>
        </w:rPr>
      </w:pPr>
    </w:p>
    <w:p w:rsidR="005077C7" w:rsidRDefault="005077C7" w:rsidP="007A12D2">
      <w:pPr>
        <w:rPr>
          <w:rFonts w:ascii="Times New Roman" w:hAnsi="Times New Roman"/>
          <w:sz w:val="22"/>
          <w:szCs w:val="22"/>
        </w:rPr>
      </w:pPr>
    </w:p>
    <w:p w:rsidR="005077C7" w:rsidRPr="00752006" w:rsidRDefault="005077C7" w:rsidP="007A12D2">
      <w:pPr>
        <w:rPr>
          <w:rFonts w:ascii="Times New Roman" w:hAnsi="Times New Roman"/>
          <w:sz w:val="22"/>
          <w:szCs w:val="22"/>
        </w:rPr>
      </w:pPr>
    </w:p>
    <w:p w:rsid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 xml:space="preserve">STATUTORY </w:t>
      </w:r>
      <w:r w:rsidRPr="000F535D">
        <w:rPr>
          <w:rFonts w:ascii="Times New Roman" w:hAnsi="Times New Roman"/>
          <w:sz w:val="22"/>
          <w:szCs w:val="22"/>
        </w:rPr>
        <w:t>AUTHORITY:</w:t>
      </w:r>
    </w:p>
    <w:p w:rsidR="001B580C" w:rsidRDefault="000F535D" w:rsidP="001B580C">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ab/>
      </w:r>
      <w:r w:rsidR="001B580C" w:rsidRPr="001B580C">
        <w:rPr>
          <w:rFonts w:ascii="Times New Roman" w:hAnsi="Times New Roman"/>
          <w:sz w:val="22"/>
          <w:szCs w:val="22"/>
        </w:rPr>
        <w:t>9-A M.R.S. §§ 1-102(2), 1-110, 6-104(1</w:t>
      </w:r>
      <w:proofErr w:type="gramStart"/>
      <w:r w:rsidR="001B580C" w:rsidRPr="001B580C">
        <w:rPr>
          <w:rFonts w:ascii="Times New Roman" w:hAnsi="Times New Roman"/>
          <w:sz w:val="22"/>
          <w:szCs w:val="22"/>
        </w:rPr>
        <w:t>)(</w:t>
      </w:r>
      <w:proofErr w:type="gramEnd"/>
      <w:r w:rsidR="001B580C" w:rsidRPr="001B580C">
        <w:rPr>
          <w:rFonts w:ascii="Times New Roman" w:hAnsi="Times New Roman"/>
          <w:sz w:val="22"/>
          <w:szCs w:val="22"/>
        </w:rPr>
        <w:t>E), 8-504</w:t>
      </w:r>
      <w:r w:rsidR="001B580C">
        <w:rPr>
          <w:rFonts w:ascii="Times New Roman" w:hAnsi="Times New Roman"/>
          <w:sz w:val="22"/>
          <w:szCs w:val="22"/>
        </w:rPr>
        <w:t>, 8-507(1), 8-508, 9-302(1)</w:t>
      </w:r>
    </w:p>
    <w:p w:rsidR="000F535D" w:rsidRDefault="001B580C" w:rsidP="001B580C">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ab/>
      </w:r>
      <w:r w:rsidRPr="001B580C">
        <w:rPr>
          <w:rFonts w:ascii="Times New Roman" w:hAnsi="Times New Roman"/>
          <w:sz w:val="22"/>
          <w:szCs w:val="22"/>
        </w:rPr>
        <w:t xml:space="preserve">9-B M.R.S. §§ </w:t>
      </w:r>
      <w:r>
        <w:rPr>
          <w:rFonts w:ascii="Times New Roman" w:hAnsi="Times New Roman"/>
          <w:sz w:val="22"/>
          <w:szCs w:val="22"/>
        </w:rPr>
        <w:t>111, 215, 241(3)</w:t>
      </w:r>
    </w:p>
    <w:p w:rsidR="001B580C" w:rsidRPr="000F535D" w:rsidRDefault="001B580C" w:rsidP="001B580C">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0F535D" w:rsidRPr="000F535D" w:rsidRDefault="000F535D" w:rsidP="000F535D">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r w:rsidRPr="000F535D">
        <w:rPr>
          <w:rFonts w:ascii="Times New Roman" w:hAnsi="Times New Roman"/>
          <w:sz w:val="22"/>
          <w:szCs w:val="22"/>
        </w:rPr>
        <w:t>EFFECTIVE DATE:</w:t>
      </w:r>
    </w:p>
    <w:p w:rsidR="000F535D" w:rsidRPr="000F535D" w:rsidRDefault="000F535D" w:rsidP="000F535D">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r w:rsidRPr="000F535D">
        <w:rPr>
          <w:rFonts w:ascii="Times New Roman" w:hAnsi="Times New Roman"/>
          <w:sz w:val="22"/>
          <w:szCs w:val="22"/>
        </w:rPr>
        <w:tab/>
        <w:t>October 23, 1988</w:t>
      </w:r>
    </w:p>
    <w:p w:rsidR="000F535D" w:rsidRPr="000F535D" w:rsidRDefault="000F535D" w:rsidP="000F535D">
      <w:pPr>
        <w:tabs>
          <w:tab w:val="left" w:pos="720"/>
          <w:tab w:val="left" w:pos="1440"/>
          <w:tab w:val="left" w:pos="2160"/>
          <w:tab w:val="left" w:pos="2880"/>
          <w:tab w:val="left" w:pos="3600"/>
          <w:tab w:val="left" w:pos="4320"/>
        </w:tabs>
        <w:overflowPunct/>
        <w:autoSpaceDE/>
        <w:autoSpaceDN/>
        <w:adjustRightInd/>
        <w:ind w:left="720" w:right="720" w:hanging="720"/>
        <w:textAlignment w:val="auto"/>
        <w:rPr>
          <w:rFonts w:ascii="Times New Roman" w:hAnsi="Times New Roman"/>
          <w:sz w:val="22"/>
          <w:szCs w:val="22"/>
        </w:rPr>
      </w:pP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EFFECTIVE DATE (ELECTRONIC CONVERSION):</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ab/>
        <w:t>May 11, 1996</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REPEALED AND REPLACED:</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ab/>
        <w:t>August 26, 1996</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NON-SUBSTANTIVE CORRECTION:</w:t>
      </w:r>
    </w:p>
    <w:p w:rsidR="000F535D" w:rsidRPr="000F535D" w:rsidRDefault="000F535D" w:rsidP="000F535D">
      <w:pPr>
        <w:tabs>
          <w:tab w:val="left" w:pos="720"/>
          <w:tab w:val="left" w:pos="1440"/>
          <w:tab w:val="left" w:pos="2160"/>
          <w:tab w:val="left" w:pos="2520"/>
          <w:tab w:val="left" w:pos="2880"/>
        </w:tabs>
        <w:overflowPunct/>
        <w:autoSpaceDE/>
        <w:autoSpaceDN/>
        <w:adjustRightInd/>
        <w:ind w:left="2520" w:hanging="2520"/>
        <w:textAlignment w:val="auto"/>
        <w:rPr>
          <w:rFonts w:ascii="Times New Roman" w:hAnsi="Times New Roman"/>
          <w:sz w:val="22"/>
          <w:szCs w:val="22"/>
        </w:rPr>
      </w:pPr>
      <w:r w:rsidRPr="000F535D">
        <w:rPr>
          <w:rFonts w:ascii="Times New Roman" w:hAnsi="Times New Roman"/>
          <w:sz w:val="22"/>
          <w:szCs w:val="22"/>
        </w:rPr>
        <w:tab/>
        <w:t>October 4, 1996 -</w:t>
      </w:r>
      <w:r w:rsidRPr="000F535D">
        <w:rPr>
          <w:rFonts w:ascii="Times New Roman" w:hAnsi="Times New Roman"/>
          <w:sz w:val="22"/>
          <w:szCs w:val="22"/>
        </w:rPr>
        <w:tab/>
        <w:t>redundant phrase “was repealed in the 1996 Joint Rule” removed from Summary, 3rd paragraph.</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NON-SUBSTANTIVE CORRECTION:</w:t>
      </w:r>
    </w:p>
    <w:p w:rsidR="000F535D" w:rsidRPr="000F535D" w:rsidRDefault="000F535D" w:rsidP="000F535D">
      <w:pPr>
        <w:tabs>
          <w:tab w:val="left" w:pos="720"/>
          <w:tab w:val="left" w:pos="1440"/>
          <w:tab w:val="left" w:pos="2520"/>
          <w:tab w:val="left" w:pos="2880"/>
        </w:tabs>
        <w:overflowPunct/>
        <w:autoSpaceDE/>
        <w:autoSpaceDN/>
        <w:adjustRightInd/>
        <w:ind w:left="720" w:hanging="720"/>
        <w:textAlignment w:val="auto"/>
        <w:rPr>
          <w:rFonts w:ascii="Times New Roman" w:hAnsi="Times New Roman"/>
          <w:sz w:val="22"/>
          <w:szCs w:val="22"/>
        </w:rPr>
      </w:pPr>
      <w:r w:rsidRPr="000F535D">
        <w:rPr>
          <w:rFonts w:ascii="Times New Roman" w:hAnsi="Times New Roman"/>
          <w:sz w:val="22"/>
          <w:szCs w:val="22"/>
        </w:rPr>
        <w:tab/>
        <w:t>July 15, 2013 –</w:t>
      </w:r>
      <w:r w:rsidRPr="000F535D">
        <w:rPr>
          <w:rFonts w:ascii="Times New Roman" w:hAnsi="Times New Roman"/>
          <w:sz w:val="22"/>
          <w:szCs w:val="22"/>
        </w:rPr>
        <w:tab/>
        <w:t>statutory citation correction in 5(B)</w:t>
      </w:r>
    </w:p>
    <w:p w:rsidR="000F535D" w:rsidRPr="000F535D" w:rsidRDefault="000F535D" w:rsidP="000F535D">
      <w:pPr>
        <w:tabs>
          <w:tab w:val="left" w:pos="720"/>
          <w:tab w:val="left" w:pos="1440"/>
          <w:tab w:val="left" w:pos="2160"/>
          <w:tab w:val="left" w:pos="2880"/>
        </w:tabs>
        <w:overflowPunct/>
        <w:autoSpaceDE/>
        <w:autoSpaceDN/>
        <w:adjustRightInd/>
        <w:ind w:left="720" w:hanging="720"/>
        <w:textAlignment w:val="auto"/>
        <w:rPr>
          <w:rFonts w:ascii="Times New Roman" w:hAnsi="Times New Roman"/>
          <w:sz w:val="22"/>
          <w:szCs w:val="22"/>
        </w:rPr>
      </w:pPr>
    </w:p>
    <w:p w:rsidR="00907C42" w:rsidRDefault="000F535D" w:rsidP="007A12D2">
      <w:pPr>
        <w:rPr>
          <w:rFonts w:ascii="Times New Roman" w:hAnsi="Times New Roman"/>
        </w:rPr>
      </w:pPr>
      <w:r>
        <w:rPr>
          <w:rFonts w:ascii="Times New Roman" w:hAnsi="Times New Roman"/>
        </w:rPr>
        <w:t>REPEALED AND REPLACED:</w:t>
      </w:r>
    </w:p>
    <w:p w:rsidR="000F535D" w:rsidRDefault="000F535D" w:rsidP="0061157B">
      <w:pPr>
        <w:tabs>
          <w:tab w:val="left" w:pos="720"/>
          <w:tab w:val="left" w:pos="2520"/>
        </w:tabs>
        <w:rPr>
          <w:rFonts w:ascii="Times New Roman" w:hAnsi="Times New Roman"/>
        </w:rPr>
      </w:pPr>
      <w:r>
        <w:rPr>
          <w:rFonts w:ascii="Times New Roman" w:hAnsi="Times New Roman"/>
        </w:rPr>
        <w:tab/>
        <w:t>July 25, 2016 –</w:t>
      </w:r>
      <w:r w:rsidR="0061157B">
        <w:rPr>
          <w:rFonts w:ascii="Times New Roman" w:hAnsi="Times New Roman"/>
        </w:rPr>
        <w:tab/>
      </w:r>
      <w:r>
        <w:rPr>
          <w:rFonts w:ascii="Times New Roman" w:hAnsi="Times New Roman"/>
        </w:rPr>
        <w:t>filings 2016-125, 126</w:t>
      </w:r>
    </w:p>
    <w:p w:rsidR="000F535D" w:rsidRPr="00665851" w:rsidRDefault="000F535D" w:rsidP="007A12D2">
      <w:pPr>
        <w:rPr>
          <w:rFonts w:ascii="Times New Roman" w:hAnsi="Times New Roman"/>
        </w:rPr>
      </w:pPr>
    </w:p>
    <w:sectPr w:rsidR="000F535D" w:rsidRPr="00665851" w:rsidSect="005077C7">
      <w:headerReference w:type="even" r:id="rId8"/>
      <w:headerReference w:type="default" r:id="rId9"/>
      <w:footerReference w:type="even" r:id="rId10"/>
      <w:pgSz w:w="12240" w:h="15840"/>
      <w:pgMar w:top="1440" w:right="1440" w:bottom="1440" w:left="1440" w:header="45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E35" w:rsidRDefault="005D1E35" w:rsidP="005D1E35">
      <w:r>
        <w:separator/>
      </w:r>
    </w:p>
  </w:endnote>
  <w:endnote w:type="continuationSeparator" w:id="0">
    <w:p w:rsidR="005D1E35" w:rsidRDefault="005D1E35" w:rsidP="005D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E6" w:rsidRPr="00C7482B" w:rsidRDefault="00C4014C">
    <w:pPr>
      <w:pStyle w:val="DefaultText"/>
      <w:tabs>
        <w:tab w:val="left" w:pos="1800"/>
      </w:tabs>
      <w:jc w:val="right"/>
    </w:pPr>
    <w:r w:rsidRPr="00C7482B">
      <w:rPr>
        <w:sz w:val="20"/>
      </w:rPr>
      <w:t>Alternative Mortgage Transactions - Regulation #19</w:t>
    </w:r>
    <w:r>
      <w:rPr>
        <w:sz w:val="20"/>
      </w:rPr>
      <w:t>/250</w:t>
    </w:r>
    <w:r w:rsidRPr="00C7482B">
      <w:rPr>
        <w:sz w:val="20"/>
      </w:rPr>
      <w:tab/>
    </w:r>
    <w:r>
      <w:rPr>
        <w:sz w:val="20"/>
      </w:rPr>
      <w:tab/>
    </w:r>
    <w:r>
      <w:rPr>
        <w:sz w:val="20"/>
      </w:rPr>
      <w:tab/>
    </w:r>
    <w:r w:rsidRPr="00C7482B">
      <w:rPr>
        <w:sz w:val="20"/>
      </w:rPr>
      <w:tab/>
    </w:r>
    <w:r w:rsidRPr="00C7482B">
      <w:rPr>
        <w:sz w:val="20"/>
      </w:rPr>
      <w:tab/>
    </w:r>
    <w:r w:rsidRPr="00C7482B">
      <w:rPr>
        <w:sz w:val="20"/>
      </w:rPr>
      <w:tab/>
      <w:t xml:space="preserve">Page </w:t>
    </w:r>
    <w:r w:rsidRPr="00C7482B">
      <w:rPr>
        <w:sz w:val="20"/>
      </w:rPr>
      <w:fldChar w:fldCharType="begin"/>
    </w:r>
    <w:r w:rsidRPr="00C7482B">
      <w:rPr>
        <w:sz w:val="20"/>
      </w:rPr>
      <w:instrText>page  \* MERGEFORMAT</w:instrText>
    </w:r>
    <w:r w:rsidRPr="00C7482B">
      <w:rPr>
        <w:sz w:val="20"/>
      </w:rPr>
      <w:fldChar w:fldCharType="separate"/>
    </w:r>
    <w:r>
      <w:rPr>
        <w:noProof/>
        <w:sz w:val="20"/>
      </w:rPr>
      <w:t>4</w:t>
    </w:r>
    <w:r w:rsidRPr="00C7482B">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E35" w:rsidRDefault="005D1E35" w:rsidP="005D1E35">
      <w:r>
        <w:separator/>
      </w:r>
    </w:p>
  </w:footnote>
  <w:footnote w:type="continuationSeparator" w:id="0">
    <w:p w:rsidR="005D1E35" w:rsidRDefault="005D1E35" w:rsidP="005D1E35">
      <w:r>
        <w:continuationSeparator/>
      </w:r>
    </w:p>
  </w:footnote>
  <w:footnote w:id="1">
    <w:p w:rsidR="005D1E35" w:rsidRPr="00752006" w:rsidRDefault="005D1E35" w:rsidP="005D1E35">
      <w:pPr>
        <w:pStyle w:val="FootnoteText"/>
        <w:rPr>
          <w:rFonts w:ascii="Times New Roman" w:hAnsi="Times New Roman"/>
          <w:sz w:val="18"/>
          <w:szCs w:val="18"/>
        </w:rPr>
      </w:pPr>
      <w:r w:rsidRPr="00752006">
        <w:rPr>
          <w:rStyle w:val="FootnoteReference"/>
          <w:rFonts w:ascii="Times New Roman" w:hAnsi="Times New Roman"/>
          <w:sz w:val="18"/>
          <w:szCs w:val="18"/>
        </w:rPr>
        <w:footnoteRef/>
      </w:r>
      <w:r w:rsidRPr="00752006">
        <w:rPr>
          <w:rFonts w:ascii="Times New Roman" w:hAnsi="Times New Roman"/>
          <w:sz w:val="18"/>
          <w:szCs w:val="18"/>
        </w:rPr>
        <w:t xml:space="preserve"> The </w:t>
      </w:r>
      <w:r w:rsidRPr="00C80C9D">
        <w:rPr>
          <w:rFonts w:ascii="Times New Roman" w:hAnsi="Times New Roman"/>
          <w:i/>
          <w:sz w:val="18"/>
          <w:szCs w:val="18"/>
        </w:rPr>
        <w:t xml:space="preserve">United States Garn-St. </w:t>
      </w:r>
      <w:proofErr w:type="spellStart"/>
      <w:r w:rsidRPr="00C80C9D">
        <w:rPr>
          <w:rFonts w:ascii="Times New Roman" w:hAnsi="Times New Roman"/>
          <w:i/>
          <w:sz w:val="18"/>
          <w:szCs w:val="18"/>
        </w:rPr>
        <w:t>Germain</w:t>
      </w:r>
      <w:proofErr w:type="spellEnd"/>
      <w:r w:rsidRPr="00C80C9D">
        <w:rPr>
          <w:rFonts w:ascii="Times New Roman" w:hAnsi="Times New Roman"/>
          <w:i/>
          <w:sz w:val="18"/>
          <w:szCs w:val="18"/>
        </w:rPr>
        <w:t xml:space="preserve"> Depository Institutions Act of 1982</w:t>
      </w:r>
      <w:r w:rsidRPr="00752006">
        <w:rPr>
          <w:rFonts w:ascii="Times New Roman" w:hAnsi="Times New Roman"/>
          <w:sz w:val="18"/>
          <w:szCs w:val="18"/>
        </w:rPr>
        <w:t xml:space="preserve">, </w:t>
      </w:r>
      <w:proofErr w:type="spellStart"/>
      <w:r w:rsidRPr="00752006">
        <w:rPr>
          <w:rFonts w:ascii="Times New Roman" w:hAnsi="Times New Roman"/>
          <w:sz w:val="18"/>
          <w:szCs w:val="18"/>
        </w:rPr>
        <w:t>Pub.L</w:t>
      </w:r>
      <w:proofErr w:type="spellEnd"/>
      <w:r w:rsidRPr="00752006">
        <w:rPr>
          <w:rFonts w:ascii="Times New Roman" w:hAnsi="Times New Roman"/>
          <w:sz w:val="18"/>
          <w:szCs w:val="18"/>
        </w:rPr>
        <w:t xml:space="preserve">. 97-320, </w:t>
      </w:r>
      <w:r w:rsidR="007A12D2">
        <w:rPr>
          <w:rFonts w:ascii="Times New Roman" w:hAnsi="Times New Roman"/>
          <w:sz w:val="18"/>
          <w:szCs w:val="18"/>
        </w:rPr>
        <w:t>§</w:t>
      </w:r>
      <w:r w:rsidRPr="00752006">
        <w:rPr>
          <w:rFonts w:ascii="Times New Roman" w:hAnsi="Times New Roman"/>
          <w:sz w:val="18"/>
          <w:szCs w:val="18"/>
        </w:rPr>
        <w:t>804, now codified at 12 U.S.C. §§</w:t>
      </w:r>
      <w:r w:rsidR="005077C7">
        <w:rPr>
          <w:rFonts w:ascii="Times New Roman" w:hAnsi="Times New Roman"/>
          <w:sz w:val="18"/>
          <w:szCs w:val="18"/>
        </w:rPr>
        <w:t> </w:t>
      </w:r>
      <w:r w:rsidRPr="00752006">
        <w:rPr>
          <w:rFonts w:ascii="Times New Roman" w:hAnsi="Times New Roman"/>
          <w:sz w:val="18"/>
          <w:szCs w:val="18"/>
        </w:rPr>
        <w:t>3801-3806.</w:t>
      </w:r>
    </w:p>
  </w:footnote>
  <w:footnote w:id="2">
    <w:p w:rsidR="005D1E35" w:rsidRPr="00752006" w:rsidRDefault="005D1E35" w:rsidP="005D1E35">
      <w:pPr>
        <w:pStyle w:val="FootnoteText"/>
        <w:rPr>
          <w:rFonts w:ascii="Times New Roman" w:hAnsi="Times New Roman"/>
          <w:sz w:val="18"/>
          <w:szCs w:val="18"/>
        </w:rPr>
      </w:pPr>
      <w:r>
        <w:rPr>
          <w:rStyle w:val="FootnoteReference"/>
        </w:rPr>
        <w:footnoteRef/>
      </w:r>
      <w:r w:rsidRPr="00752006">
        <w:rPr>
          <w:rFonts w:ascii="Times New Roman" w:hAnsi="Times New Roman"/>
          <w:sz w:val="18"/>
          <w:szCs w:val="18"/>
        </w:rPr>
        <w:t xml:space="preserve"> </w:t>
      </w:r>
      <w:proofErr w:type="gramStart"/>
      <w:r w:rsidRPr="00752006">
        <w:rPr>
          <w:rFonts w:ascii="Times New Roman" w:hAnsi="Times New Roman"/>
          <w:sz w:val="18"/>
          <w:szCs w:val="18"/>
        </w:rPr>
        <w:t>P.L. 1983, ch.307.</w:t>
      </w:r>
      <w:proofErr w:type="gramEnd"/>
      <w:r w:rsidR="00752006" w:rsidRPr="00752006">
        <w:rPr>
          <w:rFonts w:ascii="Times New Roman" w:hAnsi="Times New Roman"/>
          <w:sz w:val="18"/>
          <w:szCs w:val="18"/>
        </w:rPr>
        <w:t xml:space="preserve"> </w:t>
      </w:r>
      <w:r w:rsidRPr="00752006">
        <w:rPr>
          <w:rFonts w:ascii="Times New Roman" w:hAnsi="Times New Roman"/>
          <w:sz w:val="18"/>
          <w:szCs w:val="18"/>
        </w:rPr>
        <w:t xml:space="preserve">As it pertains to the </w:t>
      </w:r>
      <w:r w:rsidRPr="00B45A69">
        <w:rPr>
          <w:rFonts w:ascii="Times New Roman" w:hAnsi="Times New Roman"/>
          <w:i/>
          <w:sz w:val="18"/>
          <w:szCs w:val="18"/>
        </w:rPr>
        <w:t>Consumer Credit Code</w:t>
      </w:r>
      <w:r w:rsidRPr="00752006">
        <w:rPr>
          <w:rFonts w:ascii="Times New Roman" w:hAnsi="Times New Roman"/>
          <w:sz w:val="18"/>
          <w:szCs w:val="18"/>
        </w:rPr>
        <w:t xml:space="preserve">, the 1983 opt-out is codified at 9-A M.R.S. </w:t>
      </w:r>
    </w:p>
    <w:p w:rsidR="005D1E35" w:rsidRPr="00752006" w:rsidRDefault="007A12D2" w:rsidP="005D1E35">
      <w:pPr>
        <w:pStyle w:val="FootnoteText"/>
        <w:rPr>
          <w:rFonts w:ascii="Times New Roman" w:hAnsi="Times New Roman"/>
          <w:sz w:val="18"/>
          <w:szCs w:val="18"/>
        </w:rPr>
      </w:pPr>
      <w:r>
        <w:rPr>
          <w:rFonts w:ascii="Times New Roman" w:hAnsi="Times New Roman"/>
          <w:sz w:val="18"/>
          <w:szCs w:val="18"/>
        </w:rPr>
        <w:t>§</w:t>
      </w:r>
      <w:r w:rsidR="005D1E35" w:rsidRPr="00752006">
        <w:rPr>
          <w:rFonts w:ascii="Times New Roman" w:hAnsi="Times New Roman"/>
          <w:sz w:val="18"/>
          <w:szCs w:val="18"/>
        </w:rPr>
        <w:t xml:space="preserve">1-110(3); as it pertains to the </w:t>
      </w:r>
      <w:r w:rsidR="005D1E35" w:rsidRPr="00B45A69">
        <w:rPr>
          <w:rFonts w:ascii="Times New Roman" w:hAnsi="Times New Roman"/>
          <w:i/>
          <w:sz w:val="18"/>
          <w:szCs w:val="18"/>
        </w:rPr>
        <w:t>Banking C</w:t>
      </w:r>
      <w:bookmarkStart w:id="0" w:name="_GoBack"/>
      <w:r w:rsidR="005D1E35" w:rsidRPr="00B45A69">
        <w:rPr>
          <w:rFonts w:ascii="Times New Roman" w:hAnsi="Times New Roman"/>
          <w:i/>
          <w:sz w:val="18"/>
          <w:szCs w:val="18"/>
        </w:rPr>
        <w:t>ode</w:t>
      </w:r>
      <w:bookmarkEnd w:id="0"/>
      <w:r w:rsidR="005D1E35" w:rsidRPr="00752006">
        <w:rPr>
          <w:rFonts w:ascii="Times New Roman" w:hAnsi="Times New Roman"/>
          <w:sz w:val="18"/>
          <w:szCs w:val="18"/>
        </w:rPr>
        <w:t xml:space="preserve">, the 1983 opt-out is codified at 9-B M.R.S. </w:t>
      </w:r>
      <w:r>
        <w:rPr>
          <w:rFonts w:ascii="Times New Roman" w:hAnsi="Times New Roman"/>
          <w:sz w:val="18"/>
          <w:szCs w:val="18"/>
        </w:rPr>
        <w:t>§</w:t>
      </w:r>
      <w:r w:rsidR="005D1E35" w:rsidRPr="00752006">
        <w:rPr>
          <w:rFonts w:ascii="Times New Roman" w:hAnsi="Times New Roman"/>
          <w:sz w:val="18"/>
          <w:szCs w:val="18"/>
        </w:rPr>
        <w:t xml:space="preserve">241(3)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0E6" w:rsidRDefault="00752006">
    <w:pPr>
      <w:pStyle w:val="DefaultText"/>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b/>
      </w:rPr>
    </w:pPr>
    <w:r>
      <w:rPr>
        <w:rFonts w:ascii="Arial" w:hAnsi="Arial"/>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971" w:rsidRDefault="00016971" w:rsidP="00016971">
    <w:pPr>
      <w:pStyle w:val="Header"/>
      <w:jc w:val="right"/>
      <w:rPr>
        <w:rFonts w:ascii="Times New Roman" w:hAnsi="Times New Roman"/>
        <w:sz w:val="18"/>
        <w:szCs w:val="18"/>
      </w:rPr>
    </w:pPr>
    <w:r>
      <w:rPr>
        <w:rFonts w:ascii="Times New Roman" w:hAnsi="Times New Roman"/>
        <w:sz w:val="18"/>
        <w:szCs w:val="18"/>
      </w:rPr>
      <w:t>02-029 – Bureau of Financial Institutions, Chapter 119 (Regulation 19)</w:t>
    </w:r>
  </w:p>
  <w:p w:rsidR="00016971" w:rsidRDefault="00016971" w:rsidP="00016971">
    <w:pPr>
      <w:pStyle w:val="Header"/>
      <w:jc w:val="right"/>
      <w:rPr>
        <w:rFonts w:ascii="Times New Roman" w:hAnsi="Times New Roman"/>
        <w:sz w:val="18"/>
        <w:szCs w:val="18"/>
      </w:rPr>
    </w:pPr>
    <w:r>
      <w:rPr>
        <w:rFonts w:ascii="Times New Roman" w:hAnsi="Times New Roman"/>
        <w:sz w:val="18"/>
        <w:szCs w:val="18"/>
      </w:rPr>
      <w:t>02-030 – Bureau of Consumer Credit Protection, Chapter 250 (Rule 250)</w:t>
    </w:r>
  </w:p>
  <w:p w:rsidR="00016971" w:rsidRPr="00016971" w:rsidRDefault="00016971" w:rsidP="00016971">
    <w:pPr>
      <w:pStyle w:val="Header"/>
      <w:pBdr>
        <w:bottom w:val="single" w:sz="4" w:space="1" w:color="auto"/>
      </w:pBdr>
      <w:jc w:val="right"/>
      <w:rPr>
        <w:rFonts w:ascii="Times New Roman" w:hAnsi="Times New Roman"/>
        <w:sz w:val="18"/>
        <w:szCs w:val="18"/>
      </w:rPr>
    </w:pPr>
    <w:proofErr w:type="gramStart"/>
    <w:r>
      <w:rPr>
        <w:rFonts w:ascii="Times New Roman" w:hAnsi="Times New Roman"/>
        <w:sz w:val="18"/>
        <w:szCs w:val="18"/>
      </w:rPr>
      <w:t>page</w:t>
    </w:r>
    <w:proofErr w:type="gramEnd"/>
    <w:r>
      <w:rPr>
        <w:rFonts w:ascii="Times New Roman" w:hAnsi="Times New Roman"/>
        <w:sz w:val="18"/>
        <w:szCs w:val="18"/>
      </w:rPr>
      <w:t xml:space="preserve"> </w:t>
    </w:r>
    <w:r w:rsidRPr="00016971">
      <w:rPr>
        <w:rFonts w:ascii="Times New Roman" w:hAnsi="Times New Roman"/>
        <w:sz w:val="18"/>
        <w:szCs w:val="18"/>
      </w:rPr>
      <w:fldChar w:fldCharType="begin"/>
    </w:r>
    <w:r w:rsidRPr="00016971">
      <w:rPr>
        <w:rFonts w:ascii="Times New Roman" w:hAnsi="Times New Roman"/>
        <w:sz w:val="18"/>
        <w:szCs w:val="18"/>
      </w:rPr>
      <w:instrText xml:space="preserve"> PAGE   \* MERGEFORMAT </w:instrText>
    </w:r>
    <w:r w:rsidRPr="00016971">
      <w:rPr>
        <w:rFonts w:ascii="Times New Roman" w:hAnsi="Times New Roman"/>
        <w:sz w:val="18"/>
        <w:szCs w:val="18"/>
      </w:rPr>
      <w:fldChar w:fldCharType="separate"/>
    </w:r>
    <w:r w:rsidR="008554E1">
      <w:rPr>
        <w:rFonts w:ascii="Times New Roman" w:hAnsi="Times New Roman"/>
        <w:noProof/>
        <w:sz w:val="18"/>
        <w:szCs w:val="18"/>
      </w:rPr>
      <w:t>5</w:t>
    </w:r>
    <w:r w:rsidRPr="00016971">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E5B2F"/>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120C5"/>
    <w:multiLevelType w:val="hybridMultilevel"/>
    <w:tmpl w:val="896C9CFC"/>
    <w:lvl w:ilvl="0" w:tplc="10EA27E0">
      <w:start w:val="1"/>
      <w:numFmt w:val="decimal"/>
      <w:lvlText w:val="(%1)"/>
      <w:lvlJc w:val="left"/>
      <w:pPr>
        <w:ind w:left="1440" w:hanging="360"/>
      </w:pPr>
      <w:rPr>
        <w:rFonts w:ascii="Times New Roman" w:eastAsia="Times New Roman" w:hAnsi="Times New Roman" w:cs="Times New Roman" w:hint="default"/>
      </w:rPr>
    </w:lvl>
    <w:lvl w:ilvl="1" w:tplc="D95E79CC">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A4E2372"/>
    <w:multiLevelType w:val="hybridMultilevel"/>
    <w:tmpl w:val="ADF2CD52"/>
    <w:lvl w:ilvl="0" w:tplc="933E55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3A6476"/>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696429"/>
    <w:multiLevelType w:val="hybridMultilevel"/>
    <w:tmpl w:val="897613D6"/>
    <w:lvl w:ilvl="0" w:tplc="35A2E35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BE83541"/>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FD4C9C"/>
    <w:multiLevelType w:val="hybridMultilevel"/>
    <w:tmpl w:val="5DACFD46"/>
    <w:lvl w:ilvl="0" w:tplc="C6A413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405706"/>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84E4D"/>
    <w:multiLevelType w:val="hybridMultilevel"/>
    <w:tmpl w:val="FED49956"/>
    <w:lvl w:ilvl="0" w:tplc="933E55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1D45F39"/>
    <w:multiLevelType w:val="hybridMultilevel"/>
    <w:tmpl w:val="AD287344"/>
    <w:lvl w:ilvl="0" w:tplc="50180A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583244"/>
    <w:multiLevelType w:val="hybridMultilevel"/>
    <w:tmpl w:val="F672F868"/>
    <w:lvl w:ilvl="0" w:tplc="C2C48190">
      <w:start w:val="1"/>
      <w:numFmt w:val="lowerLetter"/>
      <w:lvlText w:val="%1."/>
      <w:lvlJc w:val="left"/>
      <w:pPr>
        <w:ind w:left="2250" w:hanging="360"/>
      </w:pPr>
      <w:rPr>
        <w:rFonts w:hint="default"/>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1">
    <w:nsid w:val="74AF1C50"/>
    <w:multiLevelType w:val="hybridMultilevel"/>
    <w:tmpl w:val="37FE8F10"/>
    <w:lvl w:ilvl="0" w:tplc="FF7A83DC">
      <w:start w:val="1"/>
      <w:numFmt w:val="decimal"/>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1"/>
  </w:num>
  <w:num w:numId="5">
    <w:abstractNumId w:val="7"/>
  </w:num>
  <w:num w:numId="6">
    <w:abstractNumId w:val="0"/>
  </w:num>
  <w:num w:numId="7">
    <w:abstractNumId w:val="9"/>
  </w:num>
  <w:num w:numId="8">
    <w:abstractNumId w:val="3"/>
  </w:num>
  <w:num w:numId="9">
    <w:abstractNumId w:val="2"/>
  </w:num>
  <w:num w:numId="10">
    <w:abstractNumId w:val="8"/>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E35"/>
    <w:rsid w:val="00016971"/>
    <w:rsid w:val="000F3FA2"/>
    <w:rsid w:val="000F535D"/>
    <w:rsid w:val="00166D29"/>
    <w:rsid w:val="001B580C"/>
    <w:rsid w:val="001E655D"/>
    <w:rsid w:val="00212B9B"/>
    <w:rsid w:val="002630A5"/>
    <w:rsid w:val="002D3260"/>
    <w:rsid w:val="004B5720"/>
    <w:rsid w:val="005077C7"/>
    <w:rsid w:val="005D1E35"/>
    <w:rsid w:val="0061157B"/>
    <w:rsid w:val="00665851"/>
    <w:rsid w:val="00752006"/>
    <w:rsid w:val="007A12D2"/>
    <w:rsid w:val="007B0EEF"/>
    <w:rsid w:val="008554E1"/>
    <w:rsid w:val="00896C75"/>
    <w:rsid w:val="008E645B"/>
    <w:rsid w:val="00907C42"/>
    <w:rsid w:val="00914168"/>
    <w:rsid w:val="009707F5"/>
    <w:rsid w:val="00B45A69"/>
    <w:rsid w:val="00C4014C"/>
    <w:rsid w:val="00C80C9D"/>
    <w:rsid w:val="00F6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35"/>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D1E35"/>
    <w:rPr>
      <w:rFonts w:ascii="Times New Roman" w:hAnsi="Times New Roman"/>
    </w:rPr>
  </w:style>
  <w:style w:type="paragraph" w:styleId="ListParagraph">
    <w:name w:val="List Paragraph"/>
    <w:basedOn w:val="Normal"/>
    <w:uiPriority w:val="34"/>
    <w:qFormat/>
    <w:rsid w:val="005D1E35"/>
    <w:pPr>
      <w:ind w:left="720"/>
    </w:pPr>
  </w:style>
  <w:style w:type="paragraph" w:styleId="FootnoteText">
    <w:name w:val="footnote text"/>
    <w:basedOn w:val="Normal"/>
    <w:link w:val="FootnoteTextChar"/>
    <w:rsid w:val="005D1E35"/>
    <w:rPr>
      <w:sz w:val="20"/>
    </w:rPr>
  </w:style>
  <w:style w:type="character" w:customStyle="1" w:styleId="FootnoteTextChar">
    <w:name w:val="Footnote Text Char"/>
    <w:basedOn w:val="DefaultParagraphFont"/>
    <w:link w:val="FootnoteText"/>
    <w:rsid w:val="005D1E35"/>
    <w:rPr>
      <w:rFonts w:ascii="Courier New" w:eastAsia="Times New Roman" w:hAnsi="Courier New" w:cs="Times New Roman"/>
      <w:sz w:val="20"/>
      <w:szCs w:val="20"/>
    </w:rPr>
  </w:style>
  <w:style w:type="character" w:styleId="FootnoteReference">
    <w:name w:val="footnote reference"/>
    <w:rsid w:val="005D1E35"/>
    <w:rPr>
      <w:vertAlign w:val="superscript"/>
    </w:rPr>
  </w:style>
  <w:style w:type="paragraph" w:styleId="Header">
    <w:name w:val="header"/>
    <w:basedOn w:val="Normal"/>
    <w:link w:val="HeaderChar"/>
    <w:uiPriority w:val="99"/>
    <w:unhideWhenUsed/>
    <w:rsid w:val="00752006"/>
    <w:pPr>
      <w:tabs>
        <w:tab w:val="center" w:pos="4680"/>
        <w:tab w:val="right" w:pos="9360"/>
      </w:tabs>
    </w:pPr>
  </w:style>
  <w:style w:type="character" w:customStyle="1" w:styleId="HeaderChar">
    <w:name w:val="Header Char"/>
    <w:basedOn w:val="DefaultParagraphFont"/>
    <w:link w:val="Header"/>
    <w:uiPriority w:val="99"/>
    <w:rsid w:val="00752006"/>
    <w:rPr>
      <w:rFonts w:ascii="Courier New" w:eastAsia="Times New Roman" w:hAnsi="Courier New" w:cs="Times New Roman"/>
      <w:sz w:val="24"/>
      <w:szCs w:val="20"/>
    </w:rPr>
  </w:style>
  <w:style w:type="paragraph" w:styleId="Footer">
    <w:name w:val="footer"/>
    <w:basedOn w:val="Normal"/>
    <w:link w:val="FooterChar"/>
    <w:uiPriority w:val="99"/>
    <w:unhideWhenUsed/>
    <w:rsid w:val="00752006"/>
    <w:pPr>
      <w:tabs>
        <w:tab w:val="center" w:pos="4680"/>
        <w:tab w:val="right" w:pos="9360"/>
      </w:tabs>
    </w:pPr>
  </w:style>
  <w:style w:type="character" w:customStyle="1" w:styleId="FooterChar">
    <w:name w:val="Footer Char"/>
    <w:basedOn w:val="DefaultParagraphFont"/>
    <w:link w:val="Footer"/>
    <w:uiPriority w:val="99"/>
    <w:rsid w:val="00752006"/>
    <w:rPr>
      <w:rFonts w:ascii="Courier New" w:eastAsia="Times New Roman" w:hAnsi="Courier New"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35"/>
    <w:pPr>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5D1E35"/>
    <w:rPr>
      <w:rFonts w:ascii="Times New Roman" w:hAnsi="Times New Roman"/>
    </w:rPr>
  </w:style>
  <w:style w:type="paragraph" w:styleId="ListParagraph">
    <w:name w:val="List Paragraph"/>
    <w:basedOn w:val="Normal"/>
    <w:uiPriority w:val="34"/>
    <w:qFormat/>
    <w:rsid w:val="005D1E35"/>
    <w:pPr>
      <w:ind w:left="720"/>
    </w:pPr>
  </w:style>
  <w:style w:type="paragraph" w:styleId="FootnoteText">
    <w:name w:val="footnote text"/>
    <w:basedOn w:val="Normal"/>
    <w:link w:val="FootnoteTextChar"/>
    <w:rsid w:val="005D1E35"/>
    <w:rPr>
      <w:sz w:val="20"/>
    </w:rPr>
  </w:style>
  <w:style w:type="character" w:customStyle="1" w:styleId="FootnoteTextChar">
    <w:name w:val="Footnote Text Char"/>
    <w:basedOn w:val="DefaultParagraphFont"/>
    <w:link w:val="FootnoteText"/>
    <w:rsid w:val="005D1E35"/>
    <w:rPr>
      <w:rFonts w:ascii="Courier New" w:eastAsia="Times New Roman" w:hAnsi="Courier New" w:cs="Times New Roman"/>
      <w:sz w:val="20"/>
      <w:szCs w:val="20"/>
    </w:rPr>
  </w:style>
  <w:style w:type="character" w:styleId="FootnoteReference">
    <w:name w:val="footnote reference"/>
    <w:rsid w:val="005D1E35"/>
    <w:rPr>
      <w:vertAlign w:val="superscript"/>
    </w:rPr>
  </w:style>
  <w:style w:type="paragraph" w:styleId="Header">
    <w:name w:val="header"/>
    <w:basedOn w:val="Normal"/>
    <w:link w:val="HeaderChar"/>
    <w:uiPriority w:val="99"/>
    <w:unhideWhenUsed/>
    <w:rsid w:val="00752006"/>
    <w:pPr>
      <w:tabs>
        <w:tab w:val="center" w:pos="4680"/>
        <w:tab w:val="right" w:pos="9360"/>
      </w:tabs>
    </w:pPr>
  </w:style>
  <w:style w:type="character" w:customStyle="1" w:styleId="HeaderChar">
    <w:name w:val="Header Char"/>
    <w:basedOn w:val="DefaultParagraphFont"/>
    <w:link w:val="Header"/>
    <w:uiPriority w:val="99"/>
    <w:rsid w:val="00752006"/>
    <w:rPr>
      <w:rFonts w:ascii="Courier New" w:eastAsia="Times New Roman" w:hAnsi="Courier New" w:cs="Times New Roman"/>
      <w:sz w:val="24"/>
      <w:szCs w:val="20"/>
    </w:rPr>
  </w:style>
  <w:style w:type="paragraph" w:styleId="Footer">
    <w:name w:val="footer"/>
    <w:basedOn w:val="Normal"/>
    <w:link w:val="FooterChar"/>
    <w:uiPriority w:val="99"/>
    <w:unhideWhenUsed/>
    <w:rsid w:val="00752006"/>
    <w:pPr>
      <w:tabs>
        <w:tab w:val="center" w:pos="4680"/>
        <w:tab w:val="right" w:pos="9360"/>
      </w:tabs>
    </w:pPr>
  </w:style>
  <w:style w:type="character" w:customStyle="1" w:styleId="FooterChar">
    <w:name w:val="Footer Char"/>
    <w:basedOn w:val="DefaultParagraphFont"/>
    <w:link w:val="Footer"/>
    <w:uiPriority w:val="99"/>
    <w:rsid w:val="00752006"/>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1665</Words>
  <Characters>9496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Laurendeau, David (Gordon)</dc:creator>
  <cp:lastModifiedBy>Wismer, Don</cp:lastModifiedBy>
  <cp:revision>6</cp:revision>
  <dcterms:created xsi:type="dcterms:W3CDTF">2016-07-22T20:56:00Z</dcterms:created>
  <dcterms:modified xsi:type="dcterms:W3CDTF">2016-07-25T13:31:00Z</dcterms:modified>
</cp:coreProperties>
</file>