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CD" w:rsidRDefault="00455056" w:rsidP="0005453C">
      <w:pPr>
        <w:pStyle w:val="Heading1"/>
      </w:pPr>
      <w:r w:rsidRPr="00455056">
        <w:t xml:space="preserve">Slipping and Falling on Ice – </w:t>
      </w:r>
      <w:r w:rsidR="00C2317E">
        <w:br/>
      </w:r>
      <w:r w:rsidRPr="00455056">
        <w:t>A Serious Workplace Hazard</w:t>
      </w:r>
    </w:p>
    <w:tbl>
      <w:tblPr>
        <w:tblW w:w="0" w:type="auto"/>
        <w:tblBorders>
          <w:top w:val="single" w:sz="4" w:space="0" w:color="auto"/>
          <w:left w:val="single" w:sz="4" w:space="0" w:color="auto"/>
          <w:bottom w:val="single" w:sz="4" w:space="0" w:color="auto"/>
          <w:right w:val="single" w:sz="4" w:space="0" w:color="auto"/>
        </w:tblBorders>
        <w:shd w:val="clear" w:color="auto" w:fill="005954"/>
        <w:tblCellMar>
          <w:left w:w="115" w:type="dxa"/>
          <w:bottom w:w="14" w:type="dxa"/>
          <w:right w:w="115" w:type="dxa"/>
        </w:tblCellMar>
        <w:tblLook w:val="01E0" w:firstRow="1" w:lastRow="1" w:firstColumn="1" w:lastColumn="1" w:noHBand="0" w:noVBand="0"/>
      </w:tblPr>
      <w:tblGrid>
        <w:gridCol w:w="10454"/>
      </w:tblGrid>
      <w:tr w:rsidR="00D648CD" w:rsidTr="00365FD4">
        <w:trPr>
          <w:trHeight w:val="720"/>
        </w:trPr>
        <w:tc>
          <w:tcPr>
            <w:tcW w:w="11016" w:type="dxa"/>
            <w:tcBorders>
              <w:top w:val="nil"/>
              <w:left w:val="nil"/>
              <w:bottom w:val="nil"/>
              <w:right w:val="nil"/>
              <w:tl2br w:val="nil"/>
              <w:tr2bl w:val="nil"/>
            </w:tcBorders>
            <w:shd w:val="clear" w:color="auto" w:fill="005954"/>
            <w:vAlign w:val="center"/>
          </w:tcPr>
          <w:p w:rsidR="00D648CD" w:rsidRDefault="00323400" w:rsidP="00017E18">
            <w:pPr>
              <w:pStyle w:val="Greenboxsubhead"/>
            </w:pPr>
            <w:r>
              <w:rPr>
                <w:noProof/>
              </w:rPr>
              <w:drawing>
                <wp:anchor distT="0" distB="0" distL="114300" distR="114300" simplePos="0" relativeHeight="251689984" behindDoc="1" locked="0" layoutInCell="1" allowOverlap="1" wp14:anchorId="6042257D" wp14:editId="64A517C8">
                  <wp:simplePos x="0" y="0"/>
                  <wp:positionH relativeFrom="column">
                    <wp:posOffset>3605530</wp:posOffset>
                  </wp:positionH>
                  <wp:positionV relativeFrom="paragraph">
                    <wp:posOffset>435610</wp:posOffset>
                  </wp:positionV>
                  <wp:extent cx="2935605" cy="439928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22945460Medi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5605" cy="4399280"/>
                          </a:xfrm>
                          <a:prstGeom prst="rect">
                            <a:avLst/>
                          </a:prstGeom>
                          <a:effectLst/>
                        </pic:spPr>
                      </pic:pic>
                    </a:graphicData>
                  </a:graphic>
                  <wp14:sizeRelH relativeFrom="page">
                    <wp14:pctWidth>0</wp14:pctWidth>
                  </wp14:sizeRelH>
                  <wp14:sizeRelV relativeFrom="page">
                    <wp14:pctHeight>0</wp14:pctHeight>
                  </wp14:sizeRelV>
                </wp:anchor>
              </w:drawing>
            </w:r>
            <w:r w:rsidR="000438D7">
              <w:t xml:space="preserve">Injuries to Maine Workers, 2012 </w:t>
            </w:r>
            <w:r w:rsidR="00017E18">
              <w:t xml:space="preserve">- </w:t>
            </w:r>
            <w:r w:rsidR="000438D7">
              <w:t>2013</w:t>
            </w:r>
          </w:p>
        </w:tc>
      </w:tr>
    </w:tbl>
    <w:p w:rsidR="00D648CD" w:rsidRDefault="00A33CB8" w:rsidP="002C1766">
      <w:pPr>
        <w:pStyle w:val="Date1"/>
      </w:pPr>
      <w:r w:rsidRPr="00A33CB8">
        <w:t>N</w:t>
      </w:r>
      <w:r w:rsidR="001E7439" w:rsidRPr="00A33CB8">
        <w:t>ovem</w:t>
      </w:r>
      <w:r w:rsidR="006E68F1" w:rsidRPr="00A33CB8">
        <w:t>ber</w:t>
      </w:r>
      <w:r w:rsidR="006E68F1">
        <w:t xml:space="preserve"> 2013</w:t>
      </w:r>
    </w:p>
    <w:p w:rsidR="00D648CD" w:rsidRDefault="00D648CD" w:rsidP="007B3611">
      <w:pPr>
        <w:pStyle w:val="Coverbyline"/>
      </w:pPr>
    </w:p>
    <w:p w:rsidR="00B94B6E" w:rsidRDefault="008C7B5A" w:rsidP="001536DF">
      <w:pPr>
        <w:rPr>
          <w:rFonts w:asciiTheme="minorHAnsi" w:hAnsiTheme="minorHAnsi" w:cstheme="minorHAnsi"/>
        </w:rPr>
      </w:pPr>
      <w:r w:rsidRPr="00FE3CFC">
        <w:br w:type="page"/>
      </w:r>
      <w:r w:rsidRPr="005C411E">
        <w:rPr>
          <w:rFonts w:asciiTheme="minorHAnsi" w:hAnsiTheme="minorHAnsi" w:cstheme="minorHAnsi"/>
        </w:rPr>
        <w:lastRenderedPageBreak/>
        <w:t xml:space="preserve"> </w:t>
      </w:r>
    </w:p>
    <w:p w:rsidR="00B94B6E" w:rsidRDefault="00B94B6E" w:rsidP="001536DF">
      <w:pPr>
        <w:rPr>
          <w:rFonts w:asciiTheme="minorHAnsi" w:hAnsiTheme="minorHAnsi" w:cstheme="minorHAnsi"/>
        </w:rPr>
      </w:pPr>
    </w:p>
    <w:p w:rsidR="00B94B6E" w:rsidRDefault="00B94B6E" w:rsidP="001536DF">
      <w:pPr>
        <w:rPr>
          <w:rFonts w:asciiTheme="minorHAnsi" w:hAnsiTheme="minorHAnsi" w:cstheme="minorHAnsi"/>
        </w:rPr>
      </w:pPr>
    </w:p>
    <w:p w:rsidR="001536DF" w:rsidRPr="0019351C" w:rsidRDefault="008E32F9" w:rsidP="0019351C">
      <w:pPr>
        <w:pStyle w:val="Heading2"/>
      </w:pPr>
      <w:r w:rsidRPr="0019351C">
        <w:t>I</w:t>
      </w:r>
      <w:r w:rsidR="001536DF" w:rsidRPr="0019351C">
        <w:t>ntroduction</w:t>
      </w:r>
    </w:p>
    <w:p w:rsidR="001536DF" w:rsidRPr="005C411E" w:rsidRDefault="001536DF" w:rsidP="008E32F9">
      <w:pPr>
        <w:pStyle w:val="Body"/>
      </w:pPr>
      <w:r w:rsidRPr="005C411E">
        <w:t>Snow and ice cover Maine for most of the cold months</w:t>
      </w:r>
      <w:r w:rsidR="009863BE">
        <w:t>,</w:t>
      </w:r>
      <w:r w:rsidR="00B94B6E">
        <w:t xml:space="preserve"> transforming our state</w:t>
      </w:r>
      <w:r w:rsidRPr="005C411E">
        <w:t xml:space="preserve"> i</w:t>
      </w:r>
      <w:r w:rsidR="00B94B6E">
        <w:t xml:space="preserve">nto a true “winter wonderland” that is </w:t>
      </w:r>
      <w:r w:rsidRPr="005C411E">
        <w:t xml:space="preserve">enjoyed by thousands. </w:t>
      </w:r>
      <w:r w:rsidR="009863BE">
        <w:t xml:space="preserve">However, </w:t>
      </w:r>
      <w:r w:rsidRPr="005C411E">
        <w:t xml:space="preserve">those same forms of frozen water </w:t>
      </w:r>
      <w:r w:rsidR="00B94B6E">
        <w:t>pose</w:t>
      </w:r>
      <w:r w:rsidRPr="005C411E">
        <w:t xml:space="preserve"> serious hazards for</w:t>
      </w:r>
      <w:r w:rsidR="00B94B6E">
        <w:t xml:space="preserve"> </w:t>
      </w:r>
      <w:r w:rsidR="005361BF">
        <w:t>work-related and other</w:t>
      </w:r>
      <w:r w:rsidR="00B94B6E">
        <w:t xml:space="preserve"> activities</w:t>
      </w:r>
      <w:r w:rsidRPr="005C411E">
        <w:t xml:space="preserve">.  Slipping and falling on ice may seem a common </w:t>
      </w:r>
      <w:r w:rsidR="00B94B6E">
        <w:t>and</w:t>
      </w:r>
      <w:r w:rsidRPr="005C411E">
        <w:t xml:space="preserve"> inevitable nuisance in the winter</w:t>
      </w:r>
      <w:r w:rsidR="009863BE">
        <w:t>,</w:t>
      </w:r>
      <w:r w:rsidRPr="005C411E">
        <w:t xml:space="preserve"> it may even seem comical at times</w:t>
      </w:r>
      <w:r w:rsidR="009863BE">
        <w:t>;</w:t>
      </w:r>
      <w:r w:rsidRPr="005C411E">
        <w:t xml:space="preserve"> </w:t>
      </w:r>
      <w:r w:rsidR="009863BE">
        <w:t>however,</w:t>
      </w:r>
      <w:r w:rsidRPr="005C411E">
        <w:t xml:space="preserve"> people </w:t>
      </w:r>
      <w:r w:rsidR="009863BE">
        <w:t xml:space="preserve">sustain </w:t>
      </w:r>
      <w:r w:rsidRPr="005C411E">
        <w:t>serious</w:t>
      </w:r>
      <w:r w:rsidR="009863BE">
        <w:t xml:space="preserve"> injuries</w:t>
      </w:r>
      <w:r w:rsidRPr="005C411E">
        <w:t xml:space="preserve"> from winter</w:t>
      </w:r>
      <w:r w:rsidR="00B94B6E">
        <w:t xml:space="preserve"> slips and falls. </w:t>
      </w:r>
      <w:r w:rsidRPr="005C411E">
        <w:t xml:space="preserve">Each year, hundreds of Maine workers get hurt and lose valuable work time by slipping or falling on ice and snow. </w:t>
      </w:r>
      <w:r w:rsidR="009863BE">
        <w:t xml:space="preserve">Indeed, the frequency of these incidents </w:t>
      </w:r>
      <w:r w:rsidR="00B94B6E" w:rsidRPr="005C411E">
        <w:t xml:space="preserve">should </w:t>
      </w:r>
      <w:r w:rsidR="009863BE">
        <w:t>raise more concern</w:t>
      </w:r>
      <w:r w:rsidR="00B94B6E" w:rsidRPr="005C411E">
        <w:t xml:space="preserve"> for everyone</w:t>
      </w:r>
      <w:r w:rsidR="009863BE">
        <w:t>, employers and workers in particular</w:t>
      </w:r>
      <w:r w:rsidR="00B94B6E" w:rsidRPr="005C411E">
        <w:t>.</w:t>
      </w:r>
    </w:p>
    <w:p w:rsidR="001536DF" w:rsidRPr="005C411E" w:rsidRDefault="001536DF" w:rsidP="008E32F9">
      <w:pPr>
        <w:pStyle w:val="Body"/>
      </w:pPr>
      <w:r w:rsidRPr="005C411E">
        <w:t xml:space="preserve">Using information provided by </w:t>
      </w:r>
      <w:r w:rsidR="009863BE">
        <w:t xml:space="preserve">the </w:t>
      </w:r>
      <w:r w:rsidRPr="005C411E">
        <w:t>Maine Workers</w:t>
      </w:r>
      <w:r w:rsidR="009863BE">
        <w:t>’</w:t>
      </w:r>
      <w:r w:rsidRPr="005C411E">
        <w:t xml:space="preserve"> Compensation Board (WCB) illness and injury claims database, this report </w:t>
      </w:r>
      <w:r w:rsidR="007247A0">
        <w:t>examines</w:t>
      </w:r>
      <w:r w:rsidRPr="005C411E">
        <w:t xml:space="preserve"> the nature and extent of injuries</w:t>
      </w:r>
      <w:r w:rsidR="009863BE">
        <w:t xml:space="preserve"> occurring dues to</w:t>
      </w:r>
      <w:r w:rsidRPr="005C411E">
        <w:t xml:space="preserve"> slipping and falling on snow and ice. It </w:t>
      </w:r>
      <w:r w:rsidR="007247A0">
        <w:t>includes</w:t>
      </w:r>
      <w:r w:rsidRPr="005C411E">
        <w:t xml:space="preserve"> data about </w:t>
      </w:r>
      <w:r w:rsidR="009863BE">
        <w:t xml:space="preserve">the </w:t>
      </w:r>
      <w:r w:rsidRPr="005C411E">
        <w:t xml:space="preserve">physical effects </w:t>
      </w:r>
      <w:r w:rsidR="009863BE">
        <w:t>t</w:t>
      </w:r>
      <w:r w:rsidRPr="005C411E">
        <w:t>he injured employees</w:t>
      </w:r>
      <w:r w:rsidR="009863BE">
        <w:t xml:space="preserve"> sustain</w:t>
      </w:r>
      <w:r w:rsidRPr="005C411E">
        <w:t>;</w:t>
      </w:r>
      <w:r w:rsidR="009863BE">
        <w:t xml:space="preserve"> the</w:t>
      </w:r>
      <w:r w:rsidRPr="005C411E">
        <w:t xml:space="preserve"> financial burdens </w:t>
      </w:r>
      <w:r w:rsidR="009863BE">
        <w:t xml:space="preserve">injuries place </w:t>
      </w:r>
      <w:r w:rsidRPr="005C411E">
        <w:t>on employees, employers and insurance carriers; and factors that might affect the frequency of these accidents. This report</w:t>
      </w:r>
      <w:r w:rsidR="009863BE">
        <w:t xml:space="preserve"> aims</w:t>
      </w:r>
      <w:r w:rsidRPr="005C411E">
        <w:t xml:space="preserve"> to better define and examine the problem and its causes in </w:t>
      </w:r>
      <w:r w:rsidR="009863BE">
        <w:t xml:space="preserve">the </w:t>
      </w:r>
      <w:r w:rsidRPr="005C411E">
        <w:t>hope of guiding further work to</w:t>
      </w:r>
      <w:r w:rsidR="00B94B6E">
        <w:t xml:space="preserve"> foster</w:t>
      </w:r>
      <w:r w:rsidRPr="005C411E">
        <w:t xml:space="preserve"> effective measures t</w:t>
      </w:r>
      <w:r w:rsidR="00B94B6E">
        <w:t>hat</w:t>
      </w:r>
      <w:r w:rsidRPr="005C411E">
        <w:t xml:space="preserve"> reduce </w:t>
      </w:r>
      <w:r w:rsidR="00B94B6E">
        <w:t>these kinds of</w:t>
      </w:r>
      <w:r w:rsidRPr="005C411E">
        <w:t xml:space="preserve"> injuries to Maine workers.</w:t>
      </w:r>
    </w:p>
    <w:p w:rsidR="001536DF" w:rsidRPr="005C411E" w:rsidRDefault="00B94B6E" w:rsidP="008E32F9">
      <w:pPr>
        <w:pStyle w:val="Body"/>
      </w:pPr>
      <w:r>
        <w:t>S</w:t>
      </w:r>
      <w:r w:rsidRPr="005C411E">
        <w:t>ince 1973</w:t>
      </w:r>
      <w:r>
        <w:t>, t</w:t>
      </w:r>
      <w:r w:rsidR="001536DF" w:rsidRPr="005C411E">
        <w:t xml:space="preserve">he WCB has logged </w:t>
      </w:r>
      <w:r w:rsidR="009863BE">
        <w:t>more than 14,000</w:t>
      </w:r>
      <w:r w:rsidR="001536DF" w:rsidRPr="005C411E">
        <w:t xml:space="preserve"> lost</w:t>
      </w:r>
      <w:r w:rsidR="009863BE">
        <w:t>-</w:t>
      </w:r>
      <w:r w:rsidR="001536DF" w:rsidRPr="005C411E">
        <w:t>time injury cases from slips and falls on snow and ice, representing million</w:t>
      </w:r>
      <w:r w:rsidR="007247A0">
        <w:t>s of</w:t>
      </w:r>
      <w:r w:rsidR="001536DF" w:rsidRPr="005C411E">
        <w:t xml:space="preserve"> lost work days. However, this report focuses on</w:t>
      </w:r>
      <w:r>
        <w:t xml:space="preserve"> </w:t>
      </w:r>
      <w:r w:rsidR="00A162E7">
        <w:t xml:space="preserve">just </w:t>
      </w:r>
      <w:r>
        <w:t>a subset of those cases</w:t>
      </w:r>
      <w:r w:rsidR="009863BE">
        <w:t>—</w:t>
      </w:r>
      <w:r w:rsidRPr="005C411E">
        <w:t>incidents</w:t>
      </w:r>
      <w:r w:rsidR="001536DF" w:rsidRPr="005C411E">
        <w:t xml:space="preserve"> </w:t>
      </w:r>
      <w:r w:rsidR="007247A0">
        <w:t>recorded</w:t>
      </w:r>
      <w:r>
        <w:t xml:space="preserve"> by the WCB</w:t>
      </w:r>
      <w:r w:rsidR="007247A0">
        <w:t xml:space="preserve"> from January 2012 through June 2013</w:t>
      </w:r>
      <w:r>
        <w:t xml:space="preserve">.  This </w:t>
      </w:r>
      <w:r w:rsidR="009863BE">
        <w:t>18</w:t>
      </w:r>
      <w:r w:rsidR="00A162E7">
        <w:t>-</w:t>
      </w:r>
      <w:r w:rsidR="007247A0">
        <w:t xml:space="preserve">month period </w:t>
      </w:r>
      <w:r w:rsidR="001536DF" w:rsidRPr="005C411E">
        <w:t>correlates with the</w:t>
      </w:r>
      <w:r>
        <w:t xml:space="preserve"> </w:t>
      </w:r>
      <w:r w:rsidR="001536DF" w:rsidRPr="005C411E">
        <w:t xml:space="preserve">most recent version of the Occupational Injuries and Illnesses Manual </w:t>
      </w:r>
      <w:r w:rsidR="002C29E5">
        <w:t>produced by</w:t>
      </w:r>
      <w:r w:rsidR="001536DF" w:rsidRPr="005C411E">
        <w:t xml:space="preserve"> the U.S. Department of Labor Bureau of Labor Standards (Version 2.01).  </w:t>
      </w:r>
      <w:r w:rsidR="007247A0">
        <w:t>Earlier cases</w:t>
      </w:r>
      <w:r w:rsidR="007247A0" w:rsidRPr="005C411E">
        <w:t xml:space="preserve"> </w:t>
      </w:r>
      <w:r w:rsidR="007247A0">
        <w:t xml:space="preserve">were </w:t>
      </w:r>
      <w:r w:rsidR="001536DF" w:rsidRPr="005C411E">
        <w:t>coded under a different set of r</w:t>
      </w:r>
      <w:r w:rsidR="007247A0">
        <w:t>ules and protocols</w:t>
      </w:r>
      <w:r w:rsidR="002C29E5">
        <w:t>,</w:t>
      </w:r>
      <w:r w:rsidR="007247A0">
        <w:t xml:space="preserve"> </w:t>
      </w:r>
      <w:r w:rsidR="002C29E5">
        <w:t xml:space="preserve">thus </w:t>
      </w:r>
      <w:r w:rsidR="007247A0">
        <w:t xml:space="preserve">their </w:t>
      </w:r>
      <w:r>
        <w:t>aggregates</w:t>
      </w:r>
      <w:r w:rsidR="007247A0">
        <w:t xml:space="preserve"> do</w:t>
      </w:r>
      <w:r w:rsidR="001536DF" w:rsidRPr="005C411E">
        <w:t xml:space="preserve"> not match</w:t>
      </w:r>
      <w:r>
        <w:t xml:space="preserve"> well with</w:t>
      </w:r>
      <w:r w:rsidR="001536DF" w:rsidRPr="005C411E">
        <w:t xml:space="preserve"> </w:t>
      </w:r>
      <w:r w:rsidR="007247A0">
        <w:t>the</w:t>
      </w:r>
      <w:r w:rsidR="001536DF" w:rsidRPr="005C411E">
        <w:t xml:space="preserve"> </w:t>
      </w:r>
      <w:r w:rsidR="002C29E5">
        <w:t xml:space="preserve">more </w:t>
      </w:r>
      <w:r w:rsidR="007247A0">
        <w:t xml:space="preserve">recent </w:t>
      </w:r>
      <w:r>
        <w:t>subset</w:t>
      </w:r>
      <w:r w:rsidR="001536DF" w:rsidRPr="005C411E">
        <w:t>.</w:t>
      </w:r>
    </w:p>
    <w:p w:rsidR="00B94B6E" w:rsidRDefault="00B94B6E">
      <w:pPr>
        <w:spacing w:after="0"/>
        <w:rPr>
          <w:rFonts w:asciiTheme="minorHAnsi" w:hAnsiTheme="minorHAnsi" w:cstheme="minorHAnsi"/>
          <w:u w:val="single"/>
        </w:rPr>
      </w:pPr>
      <w:r>
        <w:rPr>
          <w:rFonts w:asciiTheme="minorHAnsi" w:hAnsiTheme="minorHAnsi" w:cstheme="minorHAnsi"/>
          <w:u w:val="single"/>
        </w:rPr>
        <w:br w:type="page"/>
      </w:r>
    </w:p>
    <w:p w:rsidR="001536DF" w:rsidRPr="005C411E" w:rsidRDefault="001536DF" w:rsidP="008E32F9">
      <w:pPr>
        <w:pStyle w:val="Heading2"/>
      </w:pPr>
      <w:r w:rsidRPr="005C411E">
        <w:lastRenderedPageBreak/>
        <w:t>Significance of Ice/Snow-Related Injuries</w:t>
      </w:r>
    </w:p>
    <w:p w:rsidR="001536DF" w:rsidRDefault="001536DF" w:rsidP="008E32F9">
      <w:pPr>
        <w:pStyle w:val="Body"/>
      </w:pPr>
      <w:r w:rsidRPr="005C411E">
        <w:t>From January 2012 through June 2013</w:t>
      </w:r>
      <w:r w:rsidR="002C29E5">
        <w:t>,</w:t>
      </w:r>
      <w:r w:rsidRPr="005C411E">
        <w:t xml:space="preserve"> </w:t>
      </w:r>
      <w:r w:rsidR="002C29E5">
        <w:t>more than</w:t>
      </w:r>
      <w:r w:rsidRPr="005C411E">
        <w:t xml:space="preserve"> 1,035</w:t>
      </w:r>
      <w:r w:rsidR="002C29E5">
        <w:t xml:space="preserve"> Maine employees submitted lost-</w:t>
      </w:r>
      <w:r w:rsidRPr="005C411E">
        <w:t xml:space="preserve">time injury claims to the </w:t>
      </w:r>
      <w:r w:rsidR="00B94B6E">
        <w:t>WCB</w:t>
      </w:r>
      <w:r w:rsidRPr="005C411E">
        <w:t xml:space="preserve"> due to slips and falls on ice and snow.  Th</w:t>
      </w:r>
      <w:r w:rsidR="002C29E5">
        <w:t>is represents about 5</w:t>
      </w:r>
      <w:r w:rsidRPr="005C411E">
        <w:t xml:space="preserve"> percent of all lost</w:t>
      </w:r>
      <w:r w:rsidR="002C29E5">
        <w:t>-</w:t>
      </w:r>
      <w:r w:rsidRPr="005C411E">
        <w:t xml:space="preserve">time claims during that time period and about 27 percent of all reported slips, trips and falls.  To put these accidents into perspective, </w:t>
      </w:r>
      <w:r w:rsidR="009927BB">
        <w:t xml:space="preserve">Figure 1 </w:t>
      </w:r>
      <w:r w:rsidR="002C29E5">
        <w:t>illustrates both that</w:t>
      </w:r>
      <w:r w:rsidRPr="005C411E">
        <w:t xml:space="preserve"> there were six times as many injuries from snow and ice-related slips and falls as there were involving falls from ladders or falls from buildings and other structures and </w:t>
      </w:r>
      <w:r w:rsidR="002C29E5">
        <w:t xml:space="preserve">that </w:t>
      </w:r>
      <w:r w:rsidRPr="005C411E">
        <w:t>there were four times as many ice/snow injuries as there were from falls off vehicles or trailers.</w:t>
      </w:r>
    </w:p>
    <w:p w:rsidR="001536DF" w:rsidRDefault="00F27226" w:rsidP="001536DF">
      <w:pPr>
        <w:jc w:val="center"/>
      </w:pPr>
      <w:r>
        <w:rPr>
          <w:noProof/>
        </w:rPr>
        <mc:AlternateContent>
          <mc:Choice Requires="wps">
            <w:drawing>
              <wp:anchor distT="0" distB="0" distL="114300" distR="114300" simplePos="0" relativeHeight="251662336" behindDoc="0" locked="0" layoutInCell="1" allowOverlap="1" wp14:anchorId="3B58D5D2" wp14:editId="5A0F9CA6">
                <wp:simplePos x="0" y="0"/>
                <wp:positionH relativeFrom="column">
                  <wp:posOffset>834844</wp:posOffset>
                </wp:positionH>
                <wp:positionV relativeFrom="paragraph">
                  <wp:posOffset>3343003</wp:posOffset>
                </wp:positionV>
                <wp:extent cx="1647825" cy="2762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76225"/>
                        </a:xfrm>
                        <a:prstGeom prst="rect">
                          <a:avLst/>
                        </a:prstGeom>
                        <a:solidFill>
                          <a:schemeClr val="tx2">
                            <a:lumMod val="20000"/>
                            <a:lumOff val="80000"/>
                          </a:schemeClr>
                        </a:solidFill>
                        <a:ln w="9525">
                          <a:noFill/>
                          <a:miter lim="800000"/>
                          <a:headEnd/>
                          <a:tailEnd/>
                        </a:ln>
                      </wps:spPr>
                      <wps:txbx>
                        <w:txbxContent>
                          <w:p w:rsidR="001A245C" w:rsidRPr="00F27226" w:rsidRDefault="00EE115B" w:rsidP="004971AE">
                            <w:pPr>
                              <w:pStyle w:val="NormalWeb"/>
                              <w:spacing w:before="0" w:beforeAutospacing="0" w:after="0" w:afterAutospacing="0"/>
                              <w:rPr>
                                <w:color w:val="0F243E" w:themeColor="text2" w:themeShade="80"/>
                                <w:sz w:val="16"/>
                                <w:szCs w:val="16"/>
                              </w:rPr>
                            </w:pPr>
                            <w:r w:rsidRPr="00F27226">
                              <w:rPr>
                                <w:rFonts w:ascii="Calibri" w:hAnsi="Calibri" w:cs="Calibri"/>
                                <w:color w:val="0F243E" w:themeColor="text2" w:themeShade="80"/>
                                <w:sz w:val="16"/>
                                <w:szCs w:val="16"/>
                              </w:rPr>
                              <w:t>*</w:t>
                            </w:r>
                            <w:r w:rsidR="001A245C" w:rsidRPr="00F27226">
                              <w:rPr>
                                <w:rFonts w:ascii="Calibri" w:hAnsi="Calibri" w:cs="Calibri"/>
                                <w:color w:val="0F243E" w:themeColor="text2" w:themeShade="80"/>
                                <w:sz w:val="16"/>
                                <w:szCs w:val="16"/>
                              </w:rPr>
                              <w:t>January 2012 through June 2013</w:t>
                            </w:r>
                          </w:p>
                          <w:p w:rsidR="001A245C" w:rsidRDefault="001A2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5pt;margin-top:263.25pt;width:129.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" fillcolor="#c6d9f1 [671]" stroked="f">
                <v:textbox>
                  <w:txbxContent>
                    <w:p w:rsidR="001A245C" w:rsidRPr="00F27226" w:rsidRDefault="00EE115B" w:rsidP="004971AE">
                      <w:pPr>
                        <w:pStyle w:val="NormalWeb"/>
                        <w:spacing w:before="0" w:beforeAutospacing="0" w:after="0" w:afterAutospacing="0"/>
                        <w:rPr>
                          <w:color w:val="0F243E" w:themeColor="text2" w:themeShade="80"/>
                          <w:sz w:val="16"/>
                          <w:szCs w:val="16"/>
                        </w:rPr>
                      </w:pPr>
                      <w:r w:rsidRPr="00F27226">
                        <w:rPr>
                          <w:rFonts w:ascii="Calibri" w:hAnsi="Calibri" w:cs="Calibri"/>
                          <w:color w:val="0F243E" w:themeColor="text2" w:themeShade="80"/>
                          <w:sz w:val="16"/>
                          <w:szCs w:val="16"/>
                        </w:rPr>
                        <w:t>*</w:t>
                      </w:r>
                      <w:r w:rsidR="001A245C" w:rsidRPr="00F27226">
                        <w:rPr>
                          <w:rFonts w:ascii="Calibri" w:hAnsi="Calibri" w:cs="Calibri"/>
                          <w:color w:val="0F243E" w:themeColor="text2" w:themeShade="80"/>
                          <w:sz w:val="16"/>
                          <w:szCs w:val="16"/>
                        </w:rPr>
                        <w:t>January 2012 through June 2013</w:t>
                      </w:r>
                    </w:p>
                    <w:p w:rsidR="001A245C" w:rsidRDefault="001A245C"/>
                  </w:txbxContent>
                </v:textbox>
              </v:shape>
            </w:pict>
          </mc:Fallback>
        </mc:AlternateContent>
      </w:r>
      <w:r w:rsidR="001536DF">
        <w:rPr>
          <w:noProof/>
        </w:rPr>
        <w:drawing>
          <wp:inline distT="0" distB="0" distL="0" distR="0" wp14:anchorId="23F97176" wp14:editId="33827796">
            <wp:extent cx="5699946" cy="3808207"/>
            <wp:effectExtent l="38100" t="38100" r="91440" b="971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36DF" w:rsidRDefault="001536DF" w:rsidP="001536DF">
      <w:pPr>
        <w:jc w:val="center"/>
      </w:pPr>
    </w:p>
    <w:p w:rsidR="001536DF" w:rsidRPr="005C411E" w:rsidRDefault="001536DF" w:rsidP="008E32F9">
      <w:pPr>
        <w:pStyle w:val="Body"/>
      </w:pPr>
      <w:r w:rsidRPr="005C411E">
        <w:t>Moreover, injuries from slips and falls on ice and snow have meant substantial economic impacts. Since 2011</w:t>
      </w:r>
      <w:r w:rsidR="002C29E5">
        <w:t>,</w:t>
      </w:r>
      <w:r w:rsidRPr="005C411E">
        <w:t xml:space="preserve"> </w:t>
      </w:r>
      <w:r w:rsidR="002C29E5">
        <w:t>these accidents have led to more than</w:t>
      </w:r>
      <w:r w:rsidRPr="005C411E">
        <w:t xml:space="preserve"> 25,000 days of lost time each year in the Maine workforce</w:t>
      </w:r>
      <w:r w:rsidR="002C29E5">
        <w:t>,</w:t>
      </w:r>
      <w:r w:rsidRPr="005C411E">
        <w:t xml:space="preserve"> with medical costs </w:t>
      </w:r>
      <w:r w:rsidR="002C29E5">
        <w:t>topping more than</w:t>
      </w:r>
      <w:r w:rsidRPr="005C411E">
        <w:t xml:space="preserve"> $1.5 million each year and total costs to Maine workers, employers and insurance providers exceeding $2.3 million annually.</w:t>
      </w:r>
    </w:p>
    <w:p w:rsidR="00B94B6E" w:rsidRDefault="00B94B6E">
      <w:pPr>
        <w:spacing w:after="0"/>
        <w:rPr>
          <w:rFonts w:asciiTheme="minorHAnsi" w:hAnsiTheme="minorHAnsi" w:cstheme="minorHAnsi"/>
          <w:u w:val="single"/>
        </w:rPr>
      </w:pPr>
      <w:r>
        <w:rPr>
          <w:rFonts w:asciiTheme="minorHAnsi" w:hAnsiTheme="minorHAnsi" w:cstheme="minorHAnsi"/>
          <w:u w:val="single"/>
        </w:rPr>
        <w:br w:type="page"/>
      </w:r>
    </w:p>
    <w:p w:rsidR="001536DF" w:rsidRPr="005C411E" w:rsidRDefault="00E92379" w:rsidP="008E32F9">
      <w:pPr>
        <w:pStyle w:val="Heading2"/>
      </w:pPr>
      <w:r w:rsidRPr="005C411E">
        <w:lastRenderedPageBreak/>
        <w:t>A</w:t>
      </w:r>
      <w:r w:rsidR="001536DF" w:rsidRPr="005C411E">
        <w:t>ffected Industries and Occupations</w:t>
      </w:r>
    </w:p>
    <w:p w:rsidR="001536DF" w:rsidRPr="005C411E" w:rsidRDefault="00CE1A09" w:rsidP="001536DF">
      <w:pPr>
        <w:rPr>
          <w:rFonts w:asciiTheme="minorHAnsi" w:hAnsiTheme="minorHAnsi" w:cstheme="minorHAnsi"/>
        </w:rPr>
      </w:pPr>
      <w:r>
        <w:rPr>
          <w:rFonts w:asciiTheme="minorHAnsi" w:hAnsiTheme="minorHAnsi" w:cstheme="minorHAnsi"/>
        </w:rPr>
        <w:t>Figure</w:t>
      </w:r>
      <w:r w:rsidR="002E4B7E">
        <w:rPr>
          <w:rFonts w:asciiTheme="minorHAnsi" w:hAnsiTheme="minorHAnsi" w:cstheme="minorHAnsi"/>
        </w:rPr>
        <w:t>s</w:t>
      </w:r>
      <w:r>
        <w:rPr>
          <w:rFonts w:asciiTheme="minorHAnsi" w:hAnsiTheme="minorHAnsi" w:cstheme="minorHAnsi"/>
        </w:rPr>
        <w:t xml:space="preserve"> 2 and 3</w:t>
      </w:r>
      <w:r w:rsidR="001536DF" w:rsidRPr="005C411E">
        <w:rPr>
          <w:rFonts w:asciiTheme="minorHAnsi" w:hAnsiTheme="minorHAnsi" w:cstheme="minorHAnsi"/>
        </w:rPr>
        <w:t xml:space="preserve"> </w:t>
      </w:r>
      <w:proofErr w:type="gramStart"/>
      <w:r w:rsidR="001536DF" w:rsidRPr="005C411E">
        <w:rPr>
          <w:rFonts w:asciiTheme="minorHAnsi" w:hAnsiTheme="minorHAnsi" w:cstheme="minorHAnsi"/>
        </w:rPr>
        <w:t>show</w:t>
      </w:r>
      <w:proofErr w:type="gramEnd"/>
      <w:r w:rsidR="001536DF" w:rsidRPr="005C411E">
        <w:rPr>
          <w:rFonts w:asciiTheme="minorHAnsi" w:hAnsiTheme="minorHAnsi" w:cstheme="minorHAnsi"/>
        </w:rPr>
        <w:t xml:space="preserve"> the distribution of ice/snow-related injuries among worker occupations and industries. As shown in </w:t>
      </w:r>
      <w:r w:rsidR="002313DF">
        <w:rPr>
          <w:rFonts w:asciiTheme="minorHAnsi" w:hAnsiTheme="minorHAnsi" w:cstheme="minorHAnsi"/>
        </w:rPr>
        <w:t>Figure 2,</w:t>
      </w:r>
      <w:r w:rsidR="001536DF" w:rsidRPr="005C411E">
        <w:rPr>
          <w:rFonts w:asciiTheme="minorHAnsi" w:hAnsiTheme="minorHAnsi" w:cstheme="minorHAnsi"/>
        </w:rPr>
        <w:t xml:space="preserve"> the highest number of ice/snow related injuries occurred to workers in the transportation and material moving occupations. This should be of little surprise</w:t>
      </w:r>
      <w:r w:rsidR="002C29E5">
        <w:rPr>
          <w:rFonts w:asciiTheme="minorHAnsi" w:hAnsiTheme="minorHAnsi" w:cstheme="minorHAnsi"/>
        </w:rPr>
        <w:t>,</w:t>
      </w:r>
      <w:r w:rsidR="001536DF" w:rsidRPr="005C411E">
        <w:rPr>
          <w:rFonts w:asciiTheme="minorHAnsi" w:hAnsiTheme="minorHAnsi" w:cstheme="minorHAnsi"/>
        </w:rPr>
        <w:t xml:space="preserve"> as those occupations are likely to involve work in </w:t>
      </w:r>
      <w:r w:rsidR="00811083">
        <w:rPr>
          <w:rFonts w:asciiTheme="minorHAnsi" w:hAnsiTheme="minorHAnsi" w:cstheme="minorHAnsi"/>
        </w:rPr>
        <w:t>outside conditions</w:t>
      </w:r>
      <w:r w:rsidR="001536DF" w:rsidRPr="005C411E">
        <w:rPr>
          <w:rFonts w:asciiTheme="minorHAnsi" w:hAnsiTheme="minorHAnsi" w:cstheme="minorHAnsi"/>
        </w:rPr>
        <w:t>.  Importantly, the graph shows that snow/ice-related injuries are well distributed among all occupations, which affirms that workers in all occupations are exposed to ice and snow hazards.</w:t>
      </w:r>
    </w:p>
    <w:p w:rsidR="001536DF" w:rsidRDefault="00811083" w:rsidP="00775AA8">
      <w:pPr>
        <w:jc w:val="center"/>
      </w:pPr>
      <w:r>
        <w:rPr>
          <w:noProof/>
        </w:rPr>
        <mc:AlternateContent>
          <mc:Choice Requires="wps">
            <w:drawing>
              <wp:anchor distT="0" distB="0" distL="114300" distR="114300" simplePos="0" relativeHeight="251684864" behindDoc="0" locked="0" layoutInCell="1" allowOverlap="1" wp14:anchorId="2F32866B" wp14:editId="405B70F1">
                <wp:simplePos x="0" y="0"/>
                <wp:positionH relativeFrom="column">
                  <wp:posOffset>1112520</wp:posOffset>
                </wp:positionH>
                <wp:positionV relativeFrom="paragraph">
                  <wp:posOffset>252549</wp:posOffset>
                </wp:positionV>
                <wp:extent cx="4219575" cy="31432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14325"/>
                        </a:xfrm>
                        <a:prstGeom prst="rect">
                          <a:avLst/>
                        </a:prstGeom>
                        <a:noFill/>
                        <a:ln w="9525">
                          <a:noFill/>
                          <a:miter lim="800000"/>
                          <a:headEnd/>
                          <a:tailEnd/>
                        </a:ln>
                      </wps:spPr>
                      <wps:txbx>
                        <w:txbxContent>
                          <w:p w:rsidR="00811083" w:rsidRPr="001E7439" w:rsidRDefault="00811083" w:rsidP="00811083">
                            <w:pPr>
                              <w:rPr>
                                <w:rFonts w:asciiTheme="minorHAnsi" w:hAnsiTheme="minorHAnsi" w:cstheme="minorHAnsi"/>
                                <w:color w:val="0F243E" w:themeColor="text2" w:themeShade="80"/>
                                <w:sz w:val="16"/>
                                <w:szCs w:val="16"/>
                              </w:rPr>
                            </w:pPr>
                            <w:r w:rsidRPr="001E7439">
                              <w:rPr>
                                <w:rFonts w:asciiTheme="minorHAnsi" w:hAnsiTheme="minorHAnsi" w:cstheme="minorHAnsi"/>
                              </w:rPr>
                              <w:t xml:space="preserve">Figure 2: Ice/Snow-Related Slips and </w:t>
                            </w:r>
                            <w:proofErr w:type="gramStart"/>
                            <w:r w:rsidRPr="001E7439">
                              <w:rPr>
                                <w:rFonts w:asciiTheme="minorHAnsi" w:hAnsiTheme="minorHAnsi" w:cstheme="minorHAnsi"/>
                              </w:rPr>
                              <w:t>Falls</w:t>
                            </w:r>
                            <w:proofErr w:type="gramEnd"/>
                            <w:r w:rsidRPr="001E7439">
                              <w:rPr>
                                <w:rFonts w:asciiTheme="minorHAnsi" w:hAnsiTheme="minorHAnsi" w:cstheme="minorHAnsi"/>
                              </w:rPr>
                              <w:t xml:space="preserve"> by Occupation*</w:t>
                            </w:r>
                          </w:p>
                          <w:p w:rsidR="00811083" w:rsidRDefault="00811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7.6pt;margin-top:19.9pt;width:332.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" filled="f" stroked="f">
                <v:textbox>
                  <w:txbxContent>
                    <w:p w:rsidR="00811083" w:rsidRPr="001E7439" w:rsidRDefault="00811083" w:rsidP="00811083">
                      <w:pPr>
                        <w:rPr>
                          <w:rFonts w:asciiTheme="minorHAnsi" w:hAnsiTheme="minorHAnsi" w:cstheme="minorHAnsi"/>
                          <w:color w:val="0F243E" w:themeColor="text2" w:themeShade="80"/>
                          <w:sz w:val="16"/>
                          <w:szCs w:val="16"/>
                        </w:rPr>
                      </w:pPr>
                      <w:r w:rsidRPr="001E7439">
                        <w:rPr>
                          <w:rFonts w:asciiTheme="minorHAnsi" w:hAnsiTheme="minorHAnsi" w:cstheme="minorHAnsi"/>
                        </w:rPr>
                        <w:t xml:space="preserve">Figure 2: Ice/Snow-Related Slips and </w:t>
                      </w:r>
                      <w:proofErr w:type="gramStart"/>
                      <w:r w:rsidRPr="001E7439">
                        <w:rPr>
                          <w:rFonts w:asciiTheme="minorHAnsi" w:hAnsiTheme="minorHAnsi" w:cstheme="minorHAnsi"/>
                        </w:rPr>
                        <w:t>Falls</w:t>
                      </w:r>
                      <w:proofErr w:type="gramEnd"/>
                      <w:r w:rsidRPr="001E7439">
                        <w:rPr>
                          <w:rFonts w:asciiTheme="minorHAnsi" w:hAnsiTheme="minorHAnsi" w:cstheme="minorHAnsi"/>
                        </w:rPr>
                        <w:t xml:space="preserve"> by Occupation*</w:t>
                      </w:r>
                    </w:p>
                    <w:p w:rsidR="00811083" w:rsidRDefault="00811083"/>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F089EA0" wp14:editId="58BA2821">
                <wp:simplePos x="0" y="0"/>
                <wp:positionH relativeFrom="column">
                  <wp:posOffset>360045</wp:posOffset>
                </wp:positionH>
                <wp:positionV relativeFrom="paragraph">
                  <wp:posOffset>3867150</wp:posOffset>
                </wp:positionV>
                <wp:extent cx="1914525" cy="23812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8125"/>
                        </a:xfrm>
                        <a:prstGeom prst="rect">
                          <a:avLst/>
                        </a:prstGeom>
                        <a:noFill/>
                        <a:ln w="9525">
                          <a:noFill/>
                          <a:miter lim="800000"/>
                          <a:headEnd/>
                          <a:tailEnd/>
                        </a:ln>
                      </wps:spPr>
                      <wps:txbx>
                        <w:txbxContent>
                          <w:p w:rsidR="00811083" w:rsidRDefault="00811083">
                            <w:r w:rsidRPr="00F276C5">
                              <w:rPr>
                                <w:rFonts w:asciiTheme="minorHAnsi" w:hAnsiTheme="minorHAnsi" w:cstheme="minorHAnsi"/>
                                <w:color w:val="0F243E" w:themeColor="text2" w:themeShade="80"/>
                                <w:sz w:val="16"/>
                                <w:szCs w:val="16"/>
                              </w:rPr>
                              <w:t>*January 2012 through June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35pt;margin-top:304.5pt;width:150.7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" filled="f" stroked="f">
                <v:textbox>
                  <w:txbxContent>
                    <w:p w:rsidR="00811083" w:rsidRDefault="00811083">
                      <w:r w:rsidRPr="00F276C5">
                        <w:rPr>
                          <w:rFonts w:asciiTheme="minorHAnsi" w:hAnsiTheme="minorHAnsi" w:cstheme="minorHAnsi"/>
                          <w:color w:val="0F243E" w:themeColor="text2" w:themeShade="80"/>
                          <w:sz w:val="16"/>
                          <w:szCs w:val="16"/>
                        </w:rPr>
                        <w:t>*January 2012 through June 2013</w:t>
                      </w:r>
                    </w:p>
                  </w:txbxContent>
                </v:textbox>
              </v:shape>
            </w:pict>
          </mc:Fallback>
        </mc:AlternateContent>
      </w:r>
      <w:r>
        <w:rPr>
          <w:noProof/>
        </w:rPr>
        <w:drawing>
          <wp:inline distT="0" distB="0" distL="0" distR="0" wp14:anchorId="78A2692E" wp14:editId="09A9F8D5">
            <wp:extent cx="5943600" cy="4206240"/>
            <wp:effectExtent l="38100" t="38100" r="95250" b="990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1083" w:rsidRDefault="00811083" w:rsidP="001E7439"/>
    <w:p w:rsidR="001536DF" w:rsidRDefault="001536DF" w:rsidP="008E32F9">
      <w:pPr>
        <w:pStyle w:val="Body"/>
      </w:pPr>
      <w:r w:rsidRPr="005C411E">
        <w:t xml:space="preserve">While ice/snow-related injuries </w:t>
      </w:r>
      <w:r w:rsidR="001E7439">
        <w:t>may be</w:t>
      </w:r>
      <w:r w:rsidRPr="005C411E">
        <w:t xml:space="preserve"> well distributed among occupations, </w:t>
      </w:r>
      <w:r w:rsidR="00CE1A09">
        <w:t>Figure 3</w:t>
      </w:r>
      <w:r w:rsidRPr="005C411E">
        <w:t xml:space="preserve"> shows they are not evenly distributed among industries.  More injuries seem to occur in health care and social assistance establishments than in others</w:t>
      </w:r>
      <w:r w:rsidR="002C29E5">
        <w:t>,</w:t>
      </w:r>
      <w:r w:rsidRPr="005C411E">
        <w:t xml:space="preserve"> and, interestingly, the fewest incidents seem to be in the agriculture, forestry and fishing; utilities and construction; and transportation and warehousing industries even though they represent a high</w:t>
      </w:r>
      <w:r w:rsidR="002C29E5">
        <w:t xml:space="preserve">er percentage of outdoor jobs. </w:t>
      </w:r>
      <w:r w:rsidR="001E7439">
        <w:t>Some of these</w:t>
      </w:r>
      <w:r w:rsidR="002C29E5">
        <w:t xml:space="preserve"> industries</w:t>
      </w:r>
      <w:r w:rsidR="001E7439">
        <w:t xml:space="preserve"> </w:t>
      </w:r>
      <w:r w:rsidRPr="005C411E">
        <w:t>may reduce risks by simply avoiding outdoor work during winter conditions</w:t>
      </w:r>
      <w:r>
        <w:t>.</w:t>
      </w:r>
      <w:r w:rsidR="00CE1A09" w:rsidRPr="00CE1A09">
        <w:t xml:space="preserve"> </w:t>
      </w:r>
      <w:r w:rsidR="001E7439">
        <w:t>Others</w:t>
      </w:r>
      <w:r w:rsidR="002C29E5">
        <w:t>,</w:t>
      </w:r>
      <w:r w:rsidR="001E7439">
        <w:t xml:space="preserve"> like</w:t>
      </w:r>
      <w:r w:rsidR="00CE1A09">
        <w:t xml:space="preserve"> </w:t>
      </w:r>
      <w:r w:rsidR="002C29E5">
        <w:t xml:space="preserve">the </w:t>
      </w:r>
      <w:r w:rsidR="00CE1A09">
        <w:t>agriculture forestry and fishing industry</w:t>
      </w:r>
      <w:r w:rsidR="002C29E5">
        <w:t>,</w:t>
      </w:r>
      <w:r w:rsidR="001E7439">
        <w:t xml:space="preserve"> are lower</w:t>
      </w:r>
      <w:r w:rsidR="00CE1A09">
        <w:t xml:space="preserve"> because many of th</w:t>
      </w:r>
      <w:r w:rsidR="001E7439">
        <w:t>eir</w:t>
      </w:r>
      <w:r w:rsidR="00CE1A09">
        <w:t xml:space="preserve"> establishments are not required to report injuries to the Workers</w:t>
      </w:r>
      <w:r w:rsidR="002C29E5">
        <w:t>’</w:t>
      </w:r>
      <w:r w:rsidR="00CE1A09">
        <w:t xml:space="preserve"> Comp</w:t>
      </w:r>
      <w:r w:rsidR="009927BB">
        <w:t>ensation</w:t>
      </w:r>
      <w:r w:rsidR="00CE1A09">
        <w:t xml:space="preserve"> Board</w:t>
      </w:r>
      <w:r w:rsidR="009927BB">
        <w:t>.</w:t>
      </w:r>
    </w:p>
    <w:p w:rsidR="001536DF" w:rsidRDefault="001536DF" w:rsidP="001536DF"/>
    <w:p w:rsidR="001536DF" w:rsidRDefault="00F276C5" w:rsidP="001536DF">
      <w:pPr>
        <w:jc w:val="center"/>
      </w:pPr>
      <w:r>
        <w:rPr>
          <w:noProof/>
        </w:rPr>
        <w:lastRenderedPageBreak/>
        <mc:AlternateContent>
          <mc:Choice Requires="wps">
            <w:drawing>
              <wp:anchor distT="0" distB="0" distL="114300" distR="114300" simplePos="0" relativeHeight="251670528" behindDoc="0" locked="0" layoutInCell="1" allowOverlap="1" wp14:anchorId="58BBC53D" wp14:editId="368AA867">
                <wp:simplePos x="0" y="0"/>
                <wp:positionH relativeFrom="column">
                  <wp:posOffset>497840</wp:posOffset>
                </wp:positionH>
                <wp:positionV relativeFrom="paragraph">
                  <wp:posOffset>3552825</wp:posOffset>
                </wp:positionV>
                <wp:extent cx="1647825" cy="2190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19075"/>
                        </a:xfrm>
                        <a:prstGeom prst="rect">
                          <a:avLst/>
                        </a:prstGeom>
                        <a:noFill/>
                        <a:ln w="9525">
                          <a:noFill/>
                          <a:miter lim="800000"/>
                          <a:headEnd/>
                          <a:tailEnd/>
                        </a:ln>
                      </wps:spPr>
                      <wps:txbx>
                        <w:txbxContent>
                          <w:p w:rsidR="00F276C5" w:rsidRPr="00F276C5" w:rsidRDefault="00F276C5">
                            <w:pPr>
                              <w:rPr>
                                <w:rFonts w:asciiTheme="minorHAnsi" w:hAnsiTheme="minorHAnsi" w:cstheme="minorHAnsi"/>
                                <w:color w:val="0F243E" w:themeColor="text2" w:themeShade="80"/>
                                <w:sz w:val="16"/>
                                <w:szCs w:val="16"/>
                              </w:rPr>
                            </w:pPr>
                            <w:r w:rsidRPr="00F276C5">
                              <w:rPr>
                                <w:rFonts w:asciiTheme="minorHAnsi" w:hAnsiTheme="minorHAnsi" w:cstheme="minorHAnsi"/>
                                <w:color w:val="0F243E" w:themeColor="text2" w:themeShade="80"/>
                                <w:sz w:val="16"/>
                                <w:szCs w:val="16"/>
                              </w:rPr>
                              <w:t>*January 2012 through June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2pt;margin-top:279.75pt;width:129.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" filled="f" stroked="f">
                <v:textbox>
                  <w:txbxContent>
                    <w:p w:rsidR="00F276C5" w:rsidRPr="00F276C5" w:rsidRDefault="00F276C5">
                      <w:pPr>
                        <w:rPr>
                          <w:rFonts w:asciiTheme="minorHAnsi" w:hAnsiTheme="minorHAnsi" w:cstheme="minorHAnsi"/>
                          <w:color w:val="0F243E" w:themeColor="text2" w:themeShade="80"/>
                          <w:sz w:val="16"/>
                          <w:szCs w:val="16"/>
                        </w:rPr>
                      </w:pPr>
                      <w:r w:rsidRPr="00F276C5">
                        <w:rPr>
                          <w:rFonts w:asciiTheme="minorHAnsi" w:hAnsiTheme="minorHAnsi" w:cstheme="minorHAnsi"/>
                          <w:color w:val="0F243E" w:themeColor="text2" w:themeShade="80"/>
                          <w:sz w:val="16"/>
                          <w:szCs w:val="16"/>
                        </w:rPr>
                        <w:t>*January 2012 through June 2013</w:t>
                      </w:r>
                    </w:p>
                  </w:txbxContent>
                </v:textbox>
              </v:shape>
            </w:pict>
          </mc:Fallback>
        </mc:AlternateContent>
      </w:r>
      <w:r w:rsidR="001536DF">
        <w:rPr>
          <w:noProof/>
        </w:rPr>
        <w:drawing>
          <wp:inline distT="0" distB="0" distL="0" distR="0" wp14:anchorId="006B38D6" wp14:editId="2C700CCF">
            <wp:extent cx="5495925" cy="3771900"/>
            <wp:effectExtent l="38100" t="38100" r="85725" b="952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536DF" w:rsidRDefault="001536DF" w:rsidP="001536DF"/>
    <w:p w:rsidR="001536DF" w:rsidRPr="005C411E" w:rsidRDefault="00FB498D" w:rsidP="008E32F9">
      <w:pPr>
        <w:pStyle w:val="Heading2"/>
      </w:pPr>
      <w:r w:rsidRPr="005C411E">
        <w:rPr>
          <w:noProof/>
        </w:rPr>
        <w:drawing>
          <wp:anchor distT="0" distB="0" distL="114300" distR="114300" simplePos="0" relativeHeight="251658240" behindDoc="0" locked="0" layoutInCell="1" allowOverlap="1" wp14:anchorId="36F5336E" wp14:editId="77C2D262">
            <wp:simplePos x="0" y="0"/>
            <wp:positionH relativeFrom="column">
              <wp:posOffset>2576195</wp:posOffset>
            </wp:positionH>
            <wp:positionV relativeFrom="paragraph">
              <wp:posOffset>610235</wp:posOffset>
            </wp:positionV>
            <wp:extent cx="3918585" cy="2449195"/>
            <wp:effectExtent l="38100" t="38100" r="100965" b="103505"/>
            <wp:wrapSquare wrapText="bothSides"/>
            <wp:docPr id="14" name="Picture 14" descr="In this picture, stairs with un shoveled snow" title="Snowy st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1681083Medium.jpg"/>
                    <pic:cNvPicPr/>
                  </pic:nvPicPr>
                  <pic:blipFill>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918585" cy="244919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536DF" w:rsidRPr="005C411E">
        <w:t>Where Ice-</w:t>
      </w:r>
      <w:r w:rsidR="002C29E5">
        <w:t>R</w:t>
      </w:r>
      <w:r w:rsidR="001536DF" w:rsidRPr="005C411E">
        <w:t>elated Slips and Falls Occur</w:t>
      </w:r>
    </w:p>
    <w:p w:rsidR="001536DF" w:rsidRPr="005C411E" w:rsidRDefault="001536DF" w:rsidP="001536DF">
      <w:pPr>
        <w:rPr>
          <w:rFonts w:asciiTheme="minorHAnsi" w:hAnsiTheme="minorHAnsi" w:cstheme="minorHAnsi"/>
        </w:rPr>
      </w:pPr>
      <w:r w:rsidRPr="005C411E">
        <w:rPr>
          <w:rFonts w:asciiTheme="minorHAnsi" w:hAnsiTheme="minorHAnsi" w:cstheme="minorHAnsi"/>
        </w:rPr>
        <w:t xml:space="preserve">As one might </w:t>
      </w:r>
      <w:r w:rsidR="009624EF" w:rsidRPr="005C411E">
        <w:rPr>
          <w:rFonts w:asciiTheme="minorHAnsi" w:hAnsiTheme="minorHAnsi" w:cstheme="minorHAnsi"/>
        </w:rPr>
        <w:t>expect</w:t>
      </w:r>
      <w:r w:rsidR="002C29E5">
        <w:rPr>
          <w:rFonts w:asciiTheme="minorHAnsi" w:hAnsiTheme="minorHAnsi" w:cstheme="minorHAnsi"/>
        </w:rPr>
        <w:t>,</w:t>
      </w:r>
      <w:r w:rsidRPr="005C411E">
        <w:rPr>
          <w:rFonts w:asciiTheme="minorHAnsi" w:hAnsiTheme="minorHAnsi" w:cstheme="minorHAnsi"/>
        </w:rPr>
        <w:t xml:space="preserve"> most snow and ice</w:t>
      </w:r>
      <w:r w:rsidR="001C74D0">
        <w:rPr>
          <w:rFonts w:asciiTheme="minorHAnsi" w:hAnsiTheme="minorHAnsi" w:cstheme="minorHAnsi"/>
        </w:rPr>
        <w:t>-</w:t>
      </w:r>
      <w:r w:rsidRPr="005C411E">
        <w:rPr>
          <w:rFonts w:asciiTheme="minorHAnsi" w:hAnsiTheme="minorHAnsi" w:cstheme="minorHAnsi"/>
        </w:rPr>
        <w:t>related slips and falls occur</w:t>
      </w:r>
      <w:r w:rsidR="009624EF">
        <w:rPr>
          <w:rFonts w:asciiTheme="minorHAnsi" w:hAnsiTheme="minorHAnsi" w:cstheme="minorHAnsi"/>
        </w:rPr>
        <w:t xml:space="preserve"> </w:t>
      </w:r>
      <w:r w:rsidRPr="005C411E">
        <w:rPr>
          <w:rFonts w:asciiTheme="minorHAnsi" w:hAnsiTheme="minorHAnsi" w:cstheme="minorHAnsi"/>
        </w:rPr>
        <w:t>on outdoor surfaces</w:t>
      </w:r>
      <w:r w:rsidR="00F053AF">
        <w:rPr>
          <w:rFonts w:asciiTheme="minorHAnsi" w:hAnsiTheme="minorHAnsi" w:cstheme="minorHAnsi"/>
        </w:rPr>
        <w:t xml:space="preserve">.  </w:t>
      </w:r>
      <w:r w:rsidRPr="005C411E">
        <w:rPr>
          <w:rFonts w:asciiTheme="minorHAnsi" w:hAnsiTheme="minorHAnsi" w:cstheme="minorHAnsi"/>
        </w:rPr>
        <w:t xml:space="preserve">As shown in </w:t>
      </w:r>
      <w:r w:rsidR="009927BB">
        <w:rPr>
          <w:rFonts w:asciiTheme="minorHAnsi" w:hAnsiTheme="minorHAnsi" w:cstheme="minorHAnsi"/>
        </w:rPr>
        <w:t>Figure 4,</w:t>
      </w:r>
      <w:r w:rsidRPr="005C411E">
        <w:rPr>
          <w:rFonts w:asciiTheme="minorHAnsi" w:hAnsiTheme="minorHAnsi" w:cstheme="minorHAnsi"/>
        </w:rPr>
        <w:t xml:space="preserve"> the majority happen in parking lots, roadways, driveways and walkways where individuals travel on foot between their worksites and vehicles.  </w:t>
      </w:r>
      <w:r w:rsidR="009624EF">
        <w:rPr>
          <w:rFonts w:asciiTheme="minorHAnsi" w:hAnsiTheme="minorHAnsi" w:cstheme="minorHAnsi"/>
        </w:rPr>
        <w:t>A</w:t>
      </w:r>
      <w:r w:rsidR="001C74D0">
        <w:rPr>
          <w:rFonts w:asciiTheme="minorHAnsi" w:hAnsiTheme="minorHAnsi" w:cstheme="minorHAnsi"/>
        </w:rPr>
        <w:t>bout 8</w:t>
      </w:r>
      <w:r w:rsidR="009624EF" w:rsidRPr="005C411E">
        <w:rPr>
          <w:rFonts w:asciiTheme="minorHAnsi" w:hAnsiTheme="minorHAnsi" w:cstheme="minorHAnsi"/>
        </w:rPr>
        <w:t xml:space="preserve"> percent do occur indoors; in entryways, hallways and other rooms where ice and snow ha</w:t>
      </w:r>
      <w:r w:rsidR="009624EF">
        <w:rPr>
          <w:rFonts w:asciiTheme="minorHAnsi" w:hAnsiTheme="minorHAnsi" w:cstheme="minorHAnsi"/>
        </w:rPr>
        <w:t>ve been tracked in from outside</w:t>
      </w:r>
      <w:r w:rsidR="009624EF" w:rsidRPr="005C411E">
        <w:rPr>
          <w:rFonts w:asciiTheme="minorHAnsi" w:hAnsiTheme="minorHAnsi" w:cstheme="minorHAnsi"/>
        </w:rPr>
        <w:t>.</w:t>
      </w:r>
    </w:p>
    <w:p w:rsidR="001E7660" w:rsidRDefault="001E7660" w:rsidP="001536DF"/>
    <w:p w:rsidR="001536DF" w:rsidRDefault="001536DF" w:rsidP="001536DF">
      <w:pPr>
        <w:jc w:val="center"/>
      </w:pPr>
    </w:p>
    <w:p w:rsidR="001536DF" w:rsidRPr="001A245C" w:rsidRDefault="001536DF" w:rsidP="009624EF">
      <w:pPr>
        <w:jc w:val="center"/>
      </w:pPr>
    </w:p>
    <w:p w:rsidR="001A245C" w:rsidRDefault="002F44CB" w:rsidP="009624EF">
      <w:pPr>
        <w:jc w:val="center"/>
        <w:rPr>
          <w:u w:val="single"/>
        </w:rPr>
      </w:pPr>
      <w:r w:rsidRPr="002F44CB">
        <w:rPr>
          <w:noProof/>
          <w:u w:val="single"/>
        </w:rPr>
        <w:lastRenderedPageBreak/>
        <mc:AlternateContent>
          <mc:Choice Requires="wps">
            <w:drawing>
              <wp:anchor distT="0" distB="0" distL="114300" distR="114300" simplePos="0" relativeHeight="251680768" behindDoc="0" locked="0" layoutInCell="1" allowOverlap="1" wp14:anchorId="2FCA2D7A" wp14:editId="7A3F61C1">
                <wp:simplePos x="0" y="0"/>
                <wp:positionH relativeFrom="column">
                  <wp:posOffset>663484</wp:posOffset>
                </wp:positionH>
                <wp:positionV relativeFrom="paragraph">
                  <wp:posOffset>2196193</wp:posOffset>
                </wp:positionV>
                <wp:extent cx="1600200" cy="2095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9550"/>
                        </a:xfrm>
                        <a:prstGeom prst="rect">
                          <a:avLst/>
                        </a:prstGeom>
                        <a:noFill/>
                        <a:ln w="9525">
                          <a:noFill/>
                          <a:miter lim="800000"/>
                          <a:headEnd/>
                          <a:tailEnd/>
                        </a:ln>
                      </wps:spPr>
                      <wps:txbx>
                        <w:txbxContent>
                          <w:p w:rsidR="002F44CB" w:rsidRPr="002F44CB" w:rsidRDefault="002F44CB">
                            <w:pPr>
                              <w:rPr>
                                <w:rFonts w:asciiTheme="minorHAnsi" w:hAnsiTheme="minorHAnsi" w:cstheme="minorHAnsi"/>
                                <w:sz w:val="16"/>
                                <w:szCs w:val="16"/>
                              </w:rPr>
                            </w:pPr>
                            <w:r>
                              <w:rPr>
                                <w:rFonts w:asciiTheme="minorHAnsi" w:hAnsiTheme="minorHAnsi" w:cstheme="minorHAnsi"/>
                                <w:sz w:val="16"/>
                                <w:szCs w:val="16"/>
                              </w:rPr>
                              <w:t>*</w:t>
                            </w:r>
                            <w:r w:rsidRPr="002F44CB">
                              <w:rPr>
                                <w:rFonts w:asciiTheme="minorHAnsi" w:hAnsiTheme="minorHAnsi" w:cstheme="minorHAnsi"/>
                                <w:sz w:val="16"/>
                                <w:szCs w:val="16"/>
                              </w:rPr>
                              <w:t>January 2012 through June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2.25pt;margin-top:172.95pt;width:126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" filled="f" stroked="f">
                <v:textbox>
                  <w:txbxContent>
                    <w:p w:rsidR="002F44CB" w:rsidRPr="002F44CB" w:rsidRDefault="002F44CB">
                      <w:pPr>
                        <w:rPr>
                          <w:rFonts w:asciiTheme="minorHAnsi" w:hAnsiTheme="minorHAnsi" w:cstheme="minorHAnsi"/>
                          <w:sz w:val="16"/>
                          <w:szCs w:val="16"/>
                        </w:rPr>
                      </w:pPr>
                      <w:r>
                        <w:rPr>
                          <w:rFonts w:asciiTheme="minorHAnsi" w:hAnsiTheme="minorHAnsi" w:cstheme="minorHAnsi"/>
                          <w:sz w:val="16"/>
                          <w:szCs w:val="16"/>
                        </w:rPr>
                        <w:t>*</w:t>
                      </w:r>
                      <w:r w:rsidRPr="002F44CB">
                        <w:rPr>
                          <w:rFonts w:asciiTheme="minorHAnsi" w:hAnsiTheme="minorHAnsi" w:cstheme="minorHAnsi"/>
                          <w:sz w:val="16"/>
                          <w:szCs w:val="16"/>
                        </w:rPr>
                        <w:t>January 2012 through June 2013</w:t>
                      </w:r>
                    </w:p>
                  </w:txbxContent>
                </v:textbox>
              </v:shape>
            </w:pict>
          </mc:Fallback>
        </mc:AlternateContent>
      </w:r>
      <w:r w:rsidR="00E50664">
        <w:rPr>
          <w:noProof/>
        </w:rPr>
        <w:drawing>
          <wp:inline distT="0" distB="0" distL="0" distR="0" wp14:anchorId="6C963168" wp14:editId="58F24C34">
            <wp:extent cx="5448300" cy="2486025"/>
            <wp:effectExtent l="38100" t="38100" r="95250" b="857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7439" w:rsidRDefault="001E7439" w:rsidP="001A245C">
      <w:pPr>
        <w:spacing w:after="0"/>
        <w:rPr>
          <w:rFonts w:asciiTheme="minorHAnsi" w:hAnsiTheme="minorHAnsi" w:cstheme="minorHAnsi"/>
          <w:u w:val="single"/>
        </w:rPr>
      </w:pPr>
    </w:p>
    <w:p w:rsidR="001E7439" w:rsidRDefault="001E7439" w:rsidP="001A245C">
      <w:pPr>
        <w:spacing w:after="0"/>
        <w:rPr>
          <w:rFonts w:asciiTheme="minorHAnsi" w:hAnsiTheme="minorHAnsi" w:cstheme="minorHAnsi"/>
          <w:u w:val="single"/>
        </w:rPr>
      </w:pPr>
    </w:p>
    <w:p w:rsidR="001536DF" w:rsidRDefault="00B72E45" w:rsidP="008E32F9">
      <w:pPr>
        <w:pStyle w:val="Heading2"/>
      </w:pPr>
      <w:r w:rsidRPr="005C411E">
        <w:rPr>
          <w:noProof/>
        </w:rPr>
        <w:drawing>
          <wp:anchor distT="0" distB="0" distL="114300" distR="114300" simplePos="0" relativeHeight="251659264" behindDoc="0" locked="0" layoutInCell="1" allowOverlap="1" wp14:anchorId="546633C0" wp14:editId="6FDC271C">
            <wp:simplePos x="0" y="0"/>
            <wp:positionH relativeFrom="column">
              <wp:posOffset>-1905</wp:posOffset>
            </wp:positionH>
            <wp:positionV relativeFrom="paragraph">
              <wp:posOffset>343535</wp:posOffset>
            </wp:positionV>
            <wp:extent cx="3781425" cy="3068955"/>
            <wp:effectExtent l="38100" t="38100" r="104775" b="93345"/>
            <wp:wrapSquare wrapText="bothSides"/>
            <wp:docPr id="15" name="Picture 15" descr="man carries a large sheet of plywood by him self on snowy ground" title="ply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8487172Medium.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1425" cy="306895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536DF" w:rsidRPr="005C411E">
        <w:t>Worker Activities When Ice/Snow-Related Slips and Falls Occur</w:t>
      </w:r>
    </w:p>
    <w:p w:rsidR="00775AA8" w:rsidRPr="005C411E" w:rsidRDefault="00775AA8" w:rsidP="001A245C">
      <w:pPr>
        <w:spacing w:after="0"/>
        <w:rPr>
          <w:rFonts w:asciiTheme="minorHAnsi" w:hAnsiTheme="minorHAnsi" w:cstheme="minorHAnsi"/>
          <w:u w:val="single"/>
        </w:rPr>
      </w:pPr>
    </w:p>
    <w:p w:rsidR="001536DF" w:rsidRPr="005C411E" w:rsidRDefault="009624EF" w:rsidP="008E32F9">
      <w:pPr>
        <w:pStyle w:val="Body"/>
      </w:pPr>
      <w:r w:rsidRPr="005C411E">
        <w:t xml:space="preserve">As shown in </w:t>
      </w:r>
      <w:r>
        <w:t>Figure 5, s</w:t>
      </w:r>
      <w:r w:rsidR="001536DF" w:rsidRPr="005C411E">
        <w:t xml:space="preserve">lips and falls on snow and ice occur as workers are </w:t>
      </w:r>
      <w:r w:rsidRPr="005C411E">
        <w:t>on their way to and from work</w:t>
      </w:r>
      <w:r w:rsidR="001C74D0">
        <w:t>,</w:t>
      </w:r>
      <w:r w:rsidRPr="005C411E">
        <w:t xml:space="preserve"> </w:t>
      </w:r>
      <w:r w:rsidR="001536DF" w:rsidRPr="005C411E">
        <w:t>performing specific work tasks</w:t>
      </w:r>
      <w:r w:rsidR="001C74D0">
        <w:t>,</w:t>
      </w:r>
      <w:r w:rsidR="001536DF" w:rsidRPr="005C411E">
        <w:t xml:space="preserve"> </w:t>
      </w:r>
      <w:r>
        <w:t xml:space="preserve">or </w:t>
      </w:r>
      <w:r w:rsidR="001536DF" w:rsidRPr="005C411E">
        <w:t xml:space="preserve">walking about during work or </w:t>
      </w:r>
      <w:r>
        <w:t>other non-specified activities</w:t>
      </w:r>
      <w:r w:rsidR="002E4B7E">
        <w:t>.  While the injuries are fairly evenly distributed among</w:t>
      </w:r>
      <w:r w:rsidR="001C74D0">
        <w:t>st</w:t>
      </w:r>
      <w:r w:rsidR="002E4B7E">
        <w:t xml:space="preserve"> these three types of activities, t</w:t>
      </w:r>
      <w:r w:rsidR="001536DF" w:rsidRPr="005C411E">
        <w:t>he highest number occurred as workers were going to or from their vehicles and worksites.</w:t>
      </w:r>
    </w:p>
    <w:p w:rsidR="001536DF" w:rsidRPr="005C411E" w:rsidRDefault="001536DF" w:rsidP="001536DF">
      <w:pPr>
        <w:jc w:val="center"/>
        <w:rPr>
          <w:rFonts w:asciiTheme="minorHAnsi" w:hAnsiTheme="minorHAnsi" w:cstheme="minorHAnsi"/>
        </w:rPr>
      </w:pPr>
    </w:p>
    <w:p w:rsidR="001A245C" w:rsidRDefault="001A245C" w:rsidP="001536DF">
      <w:pPr>
        <w:jc w:val="center"/>
      </w:pPr>
    </w:p>
    <w:p w:rsidR="001536DF" w:rsidRDefault="00476FF1" w:rsidP="001536DF">
      <w:pPr>
        <w:jc w:val="center"/>
      </w:pPr>
      <w:r>
        <w:rPr>
          <w:noProof/>
        </w:rPr>
        <w:lastRenderedPageBreak/>
        <mc:AlternateContent>
          <mc:Choice Requires="wps">
            <w:drawing>
              <wp:anchor distT="0" distB="0" distL="114300" distR="114300" simplePos="0" relativeHeight="251668480" behindDoc="0" locked="0" layoutInCell="1" allowOverlap="1" wp14:anchorId="599936C5" wp14:editId="65D71289">
                <wp:simplePos x="0" y="0"/>
                <wp:positionH relativeFrom="column">
                  <wp:posOffset>3849823</wp:posOffset>
                </wp:positionH>
                <wp:positionV relativeFrom="paragraph">
                  <wp:posOffset>3387090</wp:posOffset>
                </wp:positionV>
                <wp:extent cx="1609725" cy="2190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19075"/>
                        </a:xfrm>
                        <a:prstGeom prst="rect">
                          <a:avLst/>
                        </a:prstGeom>
                        <a:noFill/>
                        <a:ln w="9525">
                          <a:noFill/>
                          <a:miter lim="800000"/>
                          <a:headEnd/>
                          <a:tailEnd/>
                        </a:ln>
                      </wps:spPr>
                      <wps:txbx>
                        <w:txbxContent>
                          <w:p w:rsidR="00476FF1" w:rsidRPr="00F276C5" w:rsidRDefault="00476FF1">
                            <w:pPr>
                              <w:rPr>
                                <w:rFonts w:asciiTheme="minorHAnsi" w:hAnsiTheme="minorHAnsi" w:cstheme="minorHAnsi"/>
                                <w:color w:val="0F243E" w:themeColor="text2" w:themeShade="80"/>
                                <w:sz w:val="16"/>
                                <w:szCs w:val="16"/>
                              </w:rPr>
                            </w:pPr>
                            <w:r w:rsidRPr="00F276C5">
                              <w:rPr>
                                <w:rFonts w:asciiTheme="minorHAnsi" w:hAnsiTheme="minorHAnsi" w:cstheme="minorHAnsi"/>
                                <w:color w:val="0F243E" w:themeColor="text2" w:themeShade="80"/>
                                <w:sz w:val="16"/>
                                <w:szCs w:val="16"/>
                              </w:rPr>
                              <w:t>*January 2012 through June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03.15pt;margin-top:266.7pt;width:126.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" filled="f" stroked="f">
                <v:textbox>
                  <w:txbxContent>
                    <w:p w:rsidR="00476FF1" w:rsidRPr="00F276C5" w:rsidRDefault="00476FF1">
                      <w:pPr>
                        <w:rPr>
                          <w:rFonts w:asciiTheme="minorHAnsi" w:hAnsiTheme="minorHAnsi" w:cstheme="minorHAnsi"/>
                          <w:color w:val="0F243E" w:themeColor="text2" w:themeShade="80"/>
                          <w:sz w:val="16"/>
                          <w:szCs w:val="16"/>
                        </w:rPr>
                      </w:pPr>
                      <w:r w:rsidRPr="00F276C5">
                        <w:rPr>
                          <w:rFonts w:asciiTheme="minorHAnsi" w:hAnsiTheme="minorHAnsi" w:cstheme="minorHAnsi"/>
                          <w:color w:val="0F243E" w:themeColor="text2" w:themeShade="80"/>
                          <w:sz w:val="16"/>
                          <w:szCs w:val="16"/>
                        </w:rPr>
                        <w:t>*January 2012 through June 2013</w:t>
                      </w:r>
                    </w:p>
                  </w:txbxContent>
                </v:textbox>
              </v:shape>
            </w:pict>
          </mc:Fallback>
        </mc:AlternateContent>
      </w:r>
      <w:r w:rsidR="001536DF">
        <w:rPr>
          <w:noProof/>
        </w:rPr>
        <w:drawing>
          <wp:inline distT="0" distB="0" distL="0" distR="0" wp14:anchorId="06EEEBFD" wp14:editId="16DFF0B3">
            <wp:extent cx="4898572" cy="3673929"/>
            <wp:effectExtent l="38100" t="38100" r="92710" b="984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36DF" w:rsidRDefault="001536DF" w:rsidP="001536DF">
      <w:pPr>
        <w:jc w:val="center"/>
      </w:pPr>
    </w:p>
    <w:p w:rsidR="001536DF" w:rsidRDefault="001536DF" w:rsidP="001536DF">
      <w:pPr>
        <w:rPr>
          <w:u w:val="single"/>
        </w:rPr>
      </w:pPr>
    </w:p>
    <w:p w:rsidR="001536DF" w:rsidRPr="005C411E" w:rsidRDefault="003277BC" w:rsidP="008E32F9">
      <w:pPr>
        <w:pStyle w:val="Heading2"/>
      </w:pPr>
      <w:r w:rsidRPr="003D6182">
        <w:rPr>
          <w:noProof/>
        </w:rPr>
        <w:drawing>
          <wp:anchor distT="0" distB="0" distL="114300" distR="114300" simplePos="0" relativeHeight="251660288" behindDoc="0" locked="0" layoutInCell="1" allowOverlap="1" wp14:anchorId="112EFBCE" wp14:editId="527ED671">
            <wp:simplePos x="0" y="0"/>
            <wp:positionH relativeFrom="column">
              <wp:posOffset>2141220</wp:posOffset>
            </wp:positionH>
            <wp:positionV relativeFrom="paragraph">
              <wp:posOffset>107950</wp:posOffset>
            </wp:positionV>
            <wp:extent cx="4206240" cy="2802890"/>
            <wp:effectExtent l="38100" t="38100" r="99060" b="92710"/>
            <wp:wrapSquare wrapText="bothSides"/>
            <wp:docPr id="16" name="Picture 16" descr="man fell and hurt his ankle in the snow." title="man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23033942Larg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06240" cy="28028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536DF" w:rsidRPr="005C411E">
        <w:t>Nature and Types of Injuries</w:t>
      </w:r>
    </w:p>
    <w:p w:rsidR="001536DF" w:rsidRDefault="001536DF" w:rsidP="003D6182">
      <w:pPr>
        <w:pStyle w:val="Body"/>
      </w:pPr>
      <w:r w:rsidRPr="003D6182">
        <w:t xml:space="preserve">Practically all injuries from slips and falls on snow and ice </w:t>
      </w:r>
      <w:r w:rsidR="009624EF" w:rsidRPr="003D6182">
        <w:t xml:space="preserve">fall under the </w:t>
      </w:r>
      <w:r w:rsidRPr="003D6182">
        <w:t>classifi</w:t>
      </w:r>
      <w:r w:rsidR="009624EF" w:rsidRPr="003D6182">
        <w:t>cation of</w:t>
      </w:r>
      <w:r w:rsidR="001C74D0" w:rsidRPr="003D6182">
        <w:t xml:space="preserve"> “traumatic injuries</w:t>
      </w:r>
      <w:r w:rsidRPr="003D6182">
        <w:t>.</w:t>
      </w:r>
      <w:r w:rsidR="001C74D0" w:rsidRPr="003D6182">
        <w:t>”</w:t>
      </w:r>
      <w:r w:rsidRPr="003D6182">
        <w:t xml:space="preserve">  As shown by </w:t>
      </w:r>
      <w:r w:rsidR="004F5673" w:rsidRPr="003D6182">
        <w:t>Figure 6,</w:t>
      </w:r>
      <w:r w:rsidRPr="003D6182">
        <w:t xml:space="preserve"> these injuries range from minor bruises, cuts and abrasions to serious bone fractures, spinal cord damage and concussions. Strains, sprains and tears comprise the largest category</w:t>
      </w:r>
      <w:r>
        <w:t>.</w:t>
      </w:r>
    </w:p>
    <w:p w:rsidR="001536DF" w:rsidRDefault="001536DF" w:rsidP="001536DF"/>
    <w:p w:rsidR="001536DF" w:rsidRDefault="001536DF" w:rsidP="001536DF"/>
    <w:p w:rsidR="001536DF" w:rsidRDefault="00A5687F" w:rsidP="001A245C">
      <w:pPr>
        <w:jc w:val="center"/>
      </w:pPr>
      <w:r>
        <w:rPr>
          <w:noProof/>
        </w:rPr>
        <w:lastRenderedPageBreak/>
        <mc:AlternateContent>
          <mc:Choice Requires="wps">
            <w:drawing>
              <wp:anchor distT="0" distB="0" distL="114300" distR="114300" simplePos="0" relativeHeight="251672576" behindDoc="0" locked="0" layoutInCell="1" allowOverlap="1" wp14:anchorId="6CD2A1E6" wp14:editId="6799F2F5">
                <wp:simplePos x="0" y="0"/>
                <wp:positionH relativeFrom="column">
                  <wp:posOffset>267335</wp:posOffset>
                </wp:positionH>
                <wp:positionV relativeFrom="paragraph">
                  <wp:posOffset>3049815</wp:posOffset>
                </wp:positionV>
                <wp:extent cx="1952625" cy="23812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38125"/>
                        </a:xfrm>
                        <a:prstGeom prst="rect">
                          <a:avLst/>
                        </a:prstGeom>
                        <a:noFill/>
                        <a:ln w="9525">
                          <a:noFill/>
                          <a:miter lim="800000"/>
                          <a:headEnd/>
                          <a:tailEnd/>
                        </a:ln>
                      </wps:spPr>
                      <wps:txbx>
                        <w:txbxContent>
                          <w:p w:rsidR="00A5687F" w:rsidRPr="00A5687F" w:rsidRDefault="00A5687F">
                            <w:pPr>
                              <w:rPr>
                                <w:rFonts w:asciiTheme="minorHAnsi" w:hAnsiTheme="minorHAnsi" w:cstheme="minorHAnsi"/>
                                <w:color w:val="0F243E" w:themeColor="text2" w:themeShade="80"/>
                                <w:sz w:val="16"/>
                                <w:szCs w:val="16"/>
                              </w:rPr>
                            </w:pPr>
                            <w:r w:rsidRPr="00A5687F">
                              <w:rPr>
                                <w:rFonts w:asciiTheme="minorHAnsi" w:hAnsiTheme="minorHAnsi" w:cstheme="minorHAnsi"/>
                                <w:color w:val="0F243E" w:themeColor="text2" w:themeShade="80"/>
                                <w:sz w:val="16"/>
                                <w:szCs w:val="16"/>
                              </w:rPr>
                              <w:t>*January 2012 through June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1.05pt;margin-top:240.15pt;width:153.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" filled="f" stroked="f">
                <v:textbox>
                  <w:txbxContent>
                    <w:p w:rsidR="00A5687F" w:rsidRPr="00A5687F" w:rsidRDefault="00A5687F">
                      <w:pPr>
                        <w:rPr>
                          <w:rFonts w:asciiTheme="minorHAnsi" w:hAnsiTheme="minorHAnsi" w:cstheme="minorHAnsi"/>
                          <w:color w:val="0F243E" w:themeColor="text2" w:themeShade="80"/>
                          <w:sz w:val="16"/>
                          <w:szCs w:val="16"/>
                        </w:rPr>
                      </w:pPr>
                      <w:r w:rsidRPr="00A5687F">
                        <w:rPr>
                          <w:rFonts w:asciiTheme="minorHAnsi" w:hAnsiTheme="minorHAnsi" w:cstheme="minorHAnsi"/>
                          <w:color w:val="0F243E" w:themeColor="text2" w:themeShade="80"/>
                          <w:sz w:val="16"/>
                          <w:szCs w:val="16"/>
                        </w:rPr>
                        <w:t>*January 2012 through June 2013</w:t>
                      </w:r>
                    </w:p>
                  </w:txbxContent>
                </v:textbox>
              </v:shape>
            </w:pict>
          </mc:Fallback>
        </mc:AlternateContent>
      </w:r>
      <w:r w:rsidR="001536DF">
        <w:rPr>
          <w:noProof/>
        </w:rPr>
        <w:drawing>
          <wp:inline distT="0" distB="0" distL="0" distR="0" wp14:anchorId="180A8B54" wp14:editId="678FE5B0">
            <wp:extent cx="6319157" cy="3184072"/>
            <wp:effectExtent l="38100" t="38100" r="100965" b="927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25A61" w:rsidRDefault="00725A61" w:rsidP="001536DF"/>
    <w:p w:rsidR="001536DF" w:rsidRPr="00725A61" w:rsidRDefault="00725A61" w:rsidP="008E32F9">
      <w:pPr>
        <w:pStyle w:val="Body"/>
      </w:pPr>
      <w:r>
        <w:t>Figure 7</w:t>
      </w:r>
      <w:r w:rsidR="001536DF" w:rsidRPr="00725A61">
        <w:t xml:space="preserve"> shows that snow and ice-related slips and falls cause injuries to a variety of body parts.  The lower extremities are most often injured by these accidents</w:t>
      </w:r>
      <w:r w:rsidR="001C74D0">
        <w:t>,</w:t>
      </w:r>
      <w:r w:rsidR="001536DF" w:rsidRPr="00725A61">
        <w:t xml:space="preserve"> followed by the category called, “multiple body parts</w:t>
      </w:r>
      <w:r w:rsidR="001C74D0">
        <w:t>,</w:t>
      </w:r>
      <w:r w:rsidR="001536DF" w:rsidRPr="00725A61">
        <w:t xml:space="preserve">” which </w:t>
      </w:r>
      <w:r w:rsidR="001C74D0">
        <w:t>refers to incidents with</w:t>
      </w:r>
      <w:r w:rsidR="001536DF" w:rsidRPr="00725A61">
        <w:t xml:space="preserve"> more than one traumatic injury to two or more unrelated parts of the body.</w:t>
      </w:r>
    </w:p>
    <w:p w:rsidR="001536DF" w:rsidRDefault="00C113FB" w:rsidP="00DF29BA">
      <w:pPr>
        <w:jc w:val="center"/>
      </w:pPr>
      <w:r>
        <w:rPr>
          <w:noProof/>
        </w:rPr>
        <w:drawing>
          <wp:inline distT="0" distB="0" distL="0" distR="0" wp14:anchorId="166B786B" wp14:editId="33F74E6E">
            <wp:extent cx="5943600" cy="3132455"/>
            <wp:effectExtent l="38100" t="38100" r="95250" b="86995"/>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C113FB">
        <w:rPr>
          <w:noProof/>
        </w:rPr>
        <w:t xml:space="preserve"> </w:t>
      </w:r>
    </w:p>
    <w:p w:rsidR="00A01CB9" w:rsidRPr="00A01CB9" w:rsidRDefault="00A01CB9" w:rsidP="008E32F9">
      <w:pPr>
        <w:pStyle w:val="Heading2"/>
      </w:pPr>
      <w:r>
        <w:br w:type="page"/>
      </w:r>
      <w:r w:rsidRPr="00A01CB9">
        <w:lastRenderedPageBreak/>
        <w:t>Factors Affec</w:t>
      </w:r>
      <w:r w:rsidR="00054E0F">
        <w:t xml:space="preserve">ting the Incidence of Ice/Snow </w:t>
      </w:r>
      <w:r w:rsidRPr="00A01CB9">
        <w:t xml:space="preserve">Related Injuries </w:t>
      </w:r>
    </w:p>
    <w:p w:rsidR="00A01CB9" w:rsidRPr="00A01CB9" w:rsidRDefault="00A01CB9" w:rsidP="008E32F9">
      <w:pPr>
        <w:pStyle w:val="Body"/>
      </w:pPr>
      <w:r w:rsidRPr="00A01CB9">
        <w:t xml:space="preserve">Obviously, ambient temperature </w:t>
      </w:r>
      <w:r w:rsidR="002E4B7E">
        <w:t>is</w:t>
      </w:r>
      <w:r w:rsidRPr="00A01CB9">
        <w:t xml:space="preserve"> the most determining factor in the incidence of ice/snow-related slips and falls.  Without </w:t>
      </w:r>
      <w:r w:rsidR="001C74D0">
        <w:t>freezing</w:t>
      </w:r>
      <w:r w:rsidRPr="00A01CB9">
        <w:t xml:space="preserve"> temperatures</w:t>
      </w:r>
      <w:r w:rsidR="001C74D0">
        <w:t>,</w:t>
      </w:r>
      <w:r w:rsidRPr="00A01CB9">
        <w:t xml:space="preserve"> snow and ice </w:t>
      </w:r>
      <w:r w:rsidR="001C74D0">
        <w:t>cannot form</w:t>
      </w:r>
      <w:r w:rsidR="002E4B7E">
        <w:t xml:space="preserve">. </w:t>
      </w:r>
      <w:r w:rsidR="001C74D0">
        <w:t>Therefore</w:t>
      </w:r>
      <w:r w:rsidR="002E4B7E">
        <w:t>,</w:t>
      </w:r>
      <w:r w:rsidRPr="00A01CB9">
        <w:t xml:space="preserve"> these accidents only occur in winter months, </w:t>
      </w:r>
      <w:r w:rsidR="002E4B7E">
        <w:t>roughly</w:t>
      </w:r>
      <w:r w:rsidRPr="00A01CB9">
        <w:t xml:space="preserve"> from the beginning of November through the end of April.</w:t>
      </w:r>
    </w:p>
    <w:p w:rsidR="00A01CB9" w:rsidRDefault="002E4B7E" w:rsidP="008E32F9">
      <w:pPr>
        <w:pStyle w:val="Body"/>
      </w:pPr>
      <w:r>
        <w:t>Worker s</w:t>
      </w:r>
      <w:r w:rsidR="00A01CB9" w:rsidRPr="00A01CB9">
        <w:t>lips and falls on ice and snow can occur anytime</w:t>
      </w:r>
      <w:r>
        <w:t xml:space="preserve"> throughout </w:t>
      </w:r>
      <w:r w:rsidR="00A01CB9" w:rsidRPr="00A01CB9">
        <w:t>the winter</w:t>
      </w:r>
      <w:r w:rsidR="001C74D0">
        <w:t xml:space="preserve">; however, </w:t>
      </w:r>
      <w:r w:rsidR="00A01CB9" w:rsidRPr="00A01CB9">
        <w:t>they are not evenly distributed</w:t>
      </w:r>
      <w:r w:rsidR="00054E0F">
        <w:t xml:space="preserve"> from day to day</w:t>
      </w:r>
      <w:r w:rsidR="00A01CB9" w:rsidRPr="00A01CB9">
        <w:t>.  As shown by Figure 8, injury events ranged from</w:t>
      </w:r>
      <w:r w:rsidR="005A3C4F">
        <w:t xml:space="preserve"> 0 </w:t>
      </w:r>
      <w:r w:rsidR="00A01CB9" w:rsidRPr="00A01CB9">
        <w:t xml:space="preserve">to </w:t>
      </w:r>
      <w:r w:rsidR="005A3C4F">
        <w:t xml:space="preserve">44 </w:t>
      </w:r>
      <w:r w:rsidR="00A01CB9" w:rsidRPr="00A01CB9">
        <w:t>incidents per day</w:t>
      </w:r>
      <w:r w:rsidR="00054E0F">
        <w:t>.</w:t>
      </w:r>
    </w:p>
    <w:p w:rsidR="001536DF" w:rsidRDefault="00A5687F" w:rsidP="00054E0F">
      <w:pPr>
        <w:jc w:val="center"/>
      </w:pPr>
      <w:r>
        <w:rPr>
          <w:noProof/>
        </w:rPr>
        <mc:AlternateContent>
          <mc:Choice Requires="wps">
            <w:drawing>
              <wp:anchor distT="0" distB="0" distL="114300" distR="114300" simplePos="0" relativeHeight="251674624" behindDoc="0" locked="0" layoutInCell="1" allowOverlap="1" wp14:anchorId="31889639" wp14:editId="5FF7CE64">
                <wp:simplePos x="0" y="0"/>
                <wp:positionH relativeFrom="column">
                  <wp:posOffset>788670</wp:posOffset>
                </wp:positionH>
                <wp:positionV relativeFrom="paragraph">
                  <wp:posOffset>3190875</wp:posOffset>
                </wp:positionV>
                <wp:extent cx="1628775" cy="2476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47650"/>
                        </a:xfrm>
                        <a:prstGeom prst="rect">
                          <a:avLst/>
                        </a:prstGeom>
                        <a:noFill/>
                        <a:ln w="9525">
                          <a:noFill/>
                          <a:miter lim="800000"/>
                          <a:headEnd/>
                          <a:tailEnd/>
                        </a:ln>
                      </wps:spPr>
                      <wps:txbx>
                        <w:txbxContent>
                          <w:p w:rsidR="00A5687F" w:rsidRPr="00A5687F" w:rsidRDefault="00A5687F">
                            <w:pPr>
                              <w:rPr>
                                <w:rFonts w:asciiTheme="minorHAnsi" w:hAnsiTheme="minorHAnsi" w:cstheme="minorHAnsi"/>
                                <w:color w:val="0F243E" w:themeColor="text2"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2.1pt;margin-top:251.25pt;width:128.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" filled="f" stroked="f">
                <v:textbox>
                  <w:txbxContent>
                    <w:p w:rsidR="00A5687F" w:rsidRPr="00A5687F" w:rsidRDefault="00A5687F">
                      <w:pPr>
                        <w:rPr>
                          <w:rFonts w:asciiTheme="minorHAnsi" w:hAnsiTheme="minorHAnsi" w:cstheme="minorHAnsi"/>
                          <w:color w:val="0F243E" w:themeColor="text2" w:themeShade="80"/>
                          <w:sz w:val="16"/>
                          <w:szCs w:val="16"/>
                        </w:rPr>
                      </w:pPr>
                    </w:p>
                  </w:txbxContent>
                </v:textbox>
              </v:shape>
            </w:pict>
          </mc:Fallback>
        </mc:AlternateContent>
      </w:r>
    </w:p>
    <w:p w:rsidR="001536DF" w:rsidRDefault="00BC7208" w:rsidP="00BD196C">
      <w:pPr>
        <w:jc w:val="center"/>
      </w:pPr>
      <w:r>
        <w:rPr>
          <w:noProof/>
        </w:rPr>
        <mc:AlternateContent>
          <mc:Choice Requires="wps">
            <w:drawing>
              <wp:anchor distT="0" distB="0" distL="114300" distR="114300" simplePos="0" relativeHeight="251686912" behindDoc="0" locked="0" layoutInCell="1" allowOverlap="1" wp14:anchorId="40B5A952" wp14:editId="142D8436">
                <wp:simplePos x="0" y="0"/>
                <wp:positionH relativeFrom="column">
                  <wp:posOffset>977638</wp:posOffset>
                </wp:positionH>
                <wp:positionV relativeFrom="paragraph">
                  <wp:posOffset>237527</wp:posOffset>
                </wp:positionV>
                <wp:extent cx="4848225" cy="333375"/>
                <wp:effectExtent l="0" t="0" r="9525" b="95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33375"/>
                        </a:xfrm>
                        <a:prstGeom prst="rect">
                          <a:avLst/>
                        </a:prstGeom>
                        <a:solidFill>
                          <a:schemeClr val="tx2">
                            <a:lumMod val="20000"/>
                            <a:lumOff val="80000"/>
                          </a:schemeClr>
                        </a:solidFill>
                        <a:ln w="9525">
                          <a:noFill/>
                          <a:miter lim="800000"/>
                          <a:headEnd/>
                          <a:tailEnd/>
                        </a:ln>
                      </wps:spPr>
                      <wps:txbx>
                        <w:txbxContent>
                          <w:p w:rsidR="00BC7208" w:rsidRPr="004C38C0" w:rsidRDefault="00BC7208" w:rsidP="00BC7208">
                            <w:pPr>
                              <w:rPr>
                                <w:rFonts w:asciiTheme="minorHAnsi" w:hAnsiTheme="minorHAnsi" w:cstheme="minorHAnsi"/>
                                <w:color w:val="0F243E" w:themeColor="text2" w:themeShade="80"/>
                                <w:sz w:val="22"/>
                                <w:szCs w:val="22"/>
                              </w:rPr>
                            </w:pPr>
                            <w:r w:rsidRPr="004C38C0">
                              <w:rPr>
                                <w:rFonts w:asciiTheme="minorHAnsi" w:hAnsiTheme="minorHAnsi" w:cstheme="minorHAnsi"/>
                                <w:b/>
                                <w:bCs/>
                                <w:color w:val="0F243E" w:themeColor="text2" w:themeShade="80"/>
                                <w:sz w:val="22"/>
                                <w:szCs w:val="22"/>
                              </w:rPr>
                              <w:t>Figure 8: Incidence of Ice/Snow-Related from Slips and Falls During Winter *</w:t>
                            </w:r>
                          </w:p>
                          <w:p w:rsidR="00BC7208" w:rsidRDefault="00BC7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7pt;margin-top:18.7pt;width:381.7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" fillcolor="#c6d9f1 [671]" stroked="f">
                <v:textbox>
                  <w:txbxContent>
                    <w:p w:rsidR="00BC7208" w:rsidRPr="004C38C0" w:rsidRDefault="00BC7208" w:rsidP="00BC7208">
                      <w:pPr>
                        <w:rPr>
                          <w:rFonts w:asciiTheme="minorHAnsi" w:hAnsiTheme="minorHAnsi" w:cstheme="minorHAnsi"/>
                          <w:color w:val="0F243E" w:themeColor="text2" w:themeShade="80"/>
                          <w:sz w:val="22"/>
                          <w:szCs w:val="22"/>
                        </w:rPr>
                      </w:pPr>
                      <w:r w:rsidRPr="004C38C0">
                        <w:rPr>
                          <w:rFonts w:asciiTheme="minorHAnsi" w:hAnsiTheme="minorHAnsi" w:cstheme="minorHAnsi"/>
                          <w:b/>
                          <w:bCs/>
                          <w:color w:val="0F243E" w:themeColor="text2" w:themeShade="80"/>
                          <w:sz w:val="22"/>
                          <w:szCs w:val="22"/>
                        </w:rPr>
                        <w:t>Figure 8: Incidence of Ice/Snow-Related from Slips and Falls During Winter *</w:t>
                      </w:r>
                    </w:p>
                    <w:p w:rsidR="00BC7208" w:rsidRDefault="00BC7208"/>
                  </w:txbxContent>
                </v:textbox>
              </v:shape>
            </w:pict>
          </mc:Fallback>
        </mc:AlternateContent>
      </w:r>
      <w:r w:rsidR="00876371">
        <w:rPr>
          <w:noProof/>
        </w:rPr>
        <mc:AlternateContent>
          <mc:Choice Requires="wps">
            <w:drawing>
              <wp:anchor distT="0" distB="0" distL="114300" distR="114300" simplePos="0" relativeHeight="251676672" behindDoc="0" locked="0" layoutInCell="1" allowOverlap="1" wp14:anchorId="3135C1CB" wp14:editId="765848BB">
                <wp:simplePos x="0" y="0"/>
                <wp:positionH relativeFrom="column">
                  <wp:posOffset>569595</wp:posOffset>
                </wp:positionH>
                <wp:positionV relativeFrom="paragraph">
                  <wp:posOffset>3390900</wp:posOffset>
                </wp:positionV>
                <wp:extent cx="2057400" cy="2476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7650"/>
                        </a:xfrm>
                        <a:prstGeom prst="rect">
                          <a:avLst/>
                        </a:prstGeom>
                        <a:solidFill>
                          <a:schemeClr val="tx2">
                            <a:lumMod val="20000"/>
                            <a:lumOff val="80000"/>
                          </a:schemeClr>
                        </a:solidFill>
                        <a:ln w="9525">
                          <a:noFill/>
                          <a:miter lim="800000"/>
                          <a:headEnd/>
                          <a:tailEnd/>
                        </a:ln>
                      </wps:spPr>
                      <wps:txbx>
                        <w:txbxContent>
                          <w:p w:rsidR="00876371" w:rsidRPr="00876371" w:rsidRDefault="00876371">
                            <w:pPr>
                              <w:rPr>
                                <w:rFonts w:asciiTheme="minorHAnsi" w:hAnsiTheme="minorHAnsi" w:cstheme="minorHAnsi"/>
                                <w:color w:val="0F243E" w:themeColor="text2" w:themeShade="80"/>
                                <w:sz w:val="16"/>
                                <w:szCs w:val="16"/>
                              </w:rPr>
                            </w:pPr>
                            <w:r w:rsidRPr="00876371">
                              <w:rPr>
                                <w:rFonts w:asciiTheme="minorHAnsi" w:hAnsiTheme="minorHAnsi" w:cstheme="minorHAnsi"/>
                                <w:color w:val="0F243E" w:themeColor="text2" w:themeShade="80"/>
                                <w:sz w:val="16"/>
                                <w:szCs w:val="16"/>
                              </w:rPr>
                              <w:t>*January 2012 through June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4.85pt;margin-top:267pt;width:162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" fillcolor="#c6d9f1 [671]" stroked="f">
                <v:textbox>
                  <w:txbxContent>
                    <w:p w:rsidR="00876371" w:rsidRPr="00876371" w:rsidRDefault="00876371">
                      <w:pPr>
                        <w:rPr>
                          <w:rFonts w:asciiTheme="minorHAnsi" w:hAnsiTheme="minorHAnsi" w:cstheme="minorHAnsi"/>
                          <w:color w:val="0F243E" w:themeColor="text2" w:themeShade="80"/>
                          <w:sz w:val="16"/>
                          <w:szCs w:val="16"/>
                        </w:rPr>
                      </w:pPr>
                      <w:r w:rsidRPr="00876371">
                        <w:rPr>
                          <w:rFonts w:asciiTheme="minorHAnsi" w:hAnsiTheme="minorHAnsi" w:cstheme="minorHAnsi"/>
                          <w:color w:val="0F243E" w:themeColor="text2" w:themeShade="80"/>
                          <w:sz w:val="16"/>
                          <w:szCs w:val="16"/>
                        </w:rPr>
                        <w:t>*January 2012 through June 2013</w:t>
                      </w:r>
                    </w:p>
                  </w:txbxContent>
                </v:textbox>
              </v:shape>
            </w:pict>
          </mc:Fallback>
        </mc:AlternateContent>
      </w:r>
      <w:r w:rsidR="00BD196C">
        <w:rPr>
          <w:noProof/>
        </w:rPr>
        <w:drawing>
          <wp:inline distT="0" distB="0" distL="0" distR="0" wp14:anchorId="33EB32C8" wp14:editId="6107FE71">
            <wp:extent cx="5381625" cy="3686175"/>
            <wp:effectExtent l="38100" t="38100" r="85725" b="85725"/>
            <wp:docPr id="9" name="Chart 9" title="Distribution # of  Daily Injuries  - Ice Rela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36DF" w:rsidRPr="00301B83" w:rsidRDefault="001536DF" w:rsidP="001536DF">
      <w:pPr>
        <w:jc w:val="center"/>
        <w:rPr>
          <w:rFonts w:asciiTheme="minorHAnsi" w:hAnsiTheme="minorHAnsi" w:cstheme="minorHAnsi"/>
        </w:rPr>
      </w:pPr>
    </w:p>
    <w:p w:rsidR="001536DF" w:rsidRPr="00301B83" w:rsidRDefault="00054E0F" w:rsidP="008E32F9">
      <w:pPr>
        <w:pStyle w:val="Body"/>
      </w:pPr>
      <w:r>
        <w:t>To some extent, climatic occurrences affect t</w:t>
      </w:r>
      <w:r w:rsidR="001536DF" w:rsidRPr="00301B83">
        <w:t xml:space="preserve">he incidence of </w:t>
      </w:r>
      <w:r w:rsidR="002E4B7E">
        <w:t>worker</w:t>
      </w:r>
      <w:r w:rsidR="001536DF" w:rsidRPr="00301B83">
        <w:t xml:space="preserve"> </w:t>
      </w:r>
      <w:r>
        <w:t xml:space="preserve">slips and falls on snow and ice. </w:t>
      </w:r>
      <w:r w:rsidR="001536DF" w:rsidRPr="00301B83">
        <w:t xml:space="preserve">As shown by </w:t>
      </w:r>
      <w:r w:rsidR="00301B83" w:rsidRPr="00301B83">
        <w:t>Figure 9</w:t>
      </w:r>
      <w:r w:rsidR="001536DF" w:rsidRPr="00301B83">
        <w:t xml:space="preserve">, </w:t>
      </w:r>
      <w:r w:rsidR="002E4B7E">
        <w:t>incidences are</w:t>
      </w:r>
      <w:r w:rsidR="001536DF" w:rsidRPr="00301B83">
        <w:t xml:space="preserve"> </w:t>
      </w:r>
      <w:r w:rsidR="000D3340">
        <w:t>associated with</w:t>
      </w:r>
      <w:r w:rsidR="001536DF" w:rsidRPr="00301B83">
        <w:t xml:space="preserve"> weather </w:t>
      </w:r>
      <w:r w:rsidR="000D3340">
        <w:t>conditions</w:t>
      </w:r>
      <w:r w:rsidR="001536DF" w:rsidRPr="00301B83">
        <w:t xml:space="preserve"> such as sn</w:t>
      </w:r>
      <w:r w:rsidR="000D3340">
        <w:t xml:space="preserve">owfall and temperature shifts. </w:t>
      </w:r>
      <w:r w:rsidR="001536DF" w:rsidRPr="00301B83">
        <w:t xml:space="preserve">Over the study period, </w:t>
      </w:r>
      <w:r>
        <w:t>higher-injury</w:t>
      </w:r>
      <w:r w:rsidR="000D3340">
        <w:t xml:space="preserve"> </w:t>
      </w:r>
      <w:r w:rsidR="001536DF" w:rsidRPr="00301B83">
        <w:t>days occurred when there were snowfall events</w:t>
      </w:r>
      <w:r w:rsidR="005A3C4F">
        <w:t>,</w:t>
      </w:r>
      <w:r w:rsidR="001536DF" w:rsidRPr="00301B83">
        <w:t xml:space="preserve"> when temperatures remained below freezing following snowfall events or when snowfall accumulations were subject to</w:t>
      </w:r>
      <w:r w:rsidR="00251734">
        <w:t xml:space="preserve"> daily thawing and re-freezing</w:t>
      </w:r>
      <w:r w:rsidR="000D3340">
        <w:t xml:space="preserve">. Conversely, </w:t>
      </w:r>
      <w:r>
        <w:t xml:space="preserve">days </w:t>
      </w:r>
      <w:r w:rsidR="000D3340">
        <w:t xml:space="preserve">when temperatures rose and </w:t>
      </w:r>
      <w:r w:rsidR="001536DF" w:rsidRPr="00301B83">
        <w:t>remained above freezing</w:t>
      </w:r>
      <w:r w:rsidR="000D3340">
        <w:t xml:space="preserve"> </w:t>
      </w:r>
      <w:r>
        <w:t>had significantly</w:t>
      </w:r>
      <w:r w:rsidR="000D3340">
        <w:t xml:space="preserve"> fewer </w:t>
      </w:r>
      <w:r>
        <w:t>injuries</w:t>
      </w:r>
      <w:r w:rsidR="000D3340">
        <w:t xml:space="preserve">, even </w:t>
      </w:r>
      <w:r>
        <w:t>if there were</w:t>
      </w:r>
      <w:r w:rsidR="00F6319F">
        <w:t xml:space="preserve"> accumulat</w:t>
      </w:r>
      <w:r>
        <w:t>ions of</w:t>
      </w:r>
      <w:r w:rsidR="000D3340" w:rsidRPr="00301B83">
        <w:t xml:space="preserve"> snow and ice</w:t>
      </w:r>
      <w:r w:rsidR="001536DF" w:rsidRPr="00301B83">
        <w:t>.</w:t>
      </w:r>
      <w:r w:rsidR="00A70431">
        <w:t xml:space="preserve">  However, there is not a strong correlation between incidence and just the</w:t>
      </w:r>
      <w:r w:rsidR="00F6319F">
        <w:t xml:space="preserve"> four</w:t>
      </w:r>
      <w:r w:rsidR="00A70431">
        <w:t xml:space="preserve"> identified climatic </w:t>
      </w:r>
      <w:r>
        <w:t>occurrences</w:t>
      </w:r>
      <w:r w:rsidR="000D3340">
        <w:t xml:space="preserve"> (r=0.20)</w:t>
      </w:r>
      <w:r w:rsidR="00251734">
        <w:t>, which sug</w:t>
      </w:r>
      <w:r w:rsidR="000D3340">
        <w:t>gests that other variables</w:t>
      </w:r>
      <w:r w:rsidR="00570DC0">
        <w:t xml:space="preserve"> also</w:t>
      </w:r>
      <w:r w:rsidR="000D3340">
        <w:t xml:space="preserve"> </w:t>
      </w:r>
      <w:r w:rsidR="00251734">
        <w:t xml:space="preserve">affect </w:t>
      </w:r>
      <w:r w:rsidR="0062298F">
        <w:t>daily</w:t>
      </w:r>
      <w:r w:rsidR="00251734">
        <w:t xml:space="preserve"> incidence rates</w:t>
      </w:r>
      <w:r w:rsidR="00A70431">
        <w:t>.</w:t>
      </w:r>
    </w:p>
    <w:p w:rsidR="001536DF" w:rsidRDefault="00293C9D" w:rsidP="001536DF">
      <w:r>
        <w:rPr>
          <w:noProof/>
        </w:rPr>
        <w:lastRenderedPageBreak/>
        <mc:AlternateContent>
          <mc:Choice Requires="wps">
            <w:drawing>
              <wp:anchor distT="0" distB="0" distL="114300" distR="114300" simplePos="0" relativeHeight="251688960" behindDoc="0" locked="0" layoutInCell="1" allowOverlap="1" wp14:anchorId="0AB92273" wp14:editId="7B6B50BE">
                <wp:simplePos x="0" y="0"/>
                <wp:positionH relativeFrom="column">
                  <wp:posOffset>-690653</wp:posOffset>
                </wp:positionH>
                <wp:positionV relativeFrom="paragraph">
                  <wp:posOffset>1654493</wp:posOffset>
                </wp:positionV>
                <wp:extent cx="2288223" cy="386398"/>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88223" cy="386398"/>
                        </a:xfrm>
                        <a:prstGeom prst="rect">
                          <a:avLst/>
                        </a:prstGeom>
                        <a:noFill/>
                        <a:ln w="9525">
                          <a:noFill/>
                          <a:miter lim="800000"/>
                          <a:headEnd/>
                          <a:tailEnd/>
                        </a:ln>
                      </wps:spPr>
                      <wps:txbx>
                        <w:txbxContent>
                          <w:p w:rsidR="00293C9D" w:rsidRPr="00293C9D" w:rsidRDefault="00293C9D" w:rsidP="00293C9D">
                            <w:pPr>
                              <w:rPr>
                                <w:rFonts w:asciiTheme="minorHAnsi" w:hAnsiTheme="minorHAnsi" w:cstheme="minorHAnsi"/>
                                <w:sz w:val="18"/>
                                <w:szCs w:val="18"/>
                              </w:rPr>
                            </w:pPr>
                            <w:r w:rsidRPr="00293C9D">
                              <w:rPr>
                                <w:rFonts w:asciiTheme="minorHAnsi" w:hAnsiTheme="minorHAnsi" w:cstheme="minorHAnsi"/>
                                <w:color w:val="FF0000"/>
                                <w:sz w:val="18"/>
                                <w:szCs w:val="18"/>
                              </w:rPr>
                              <w:t xml:space="preserve">Number of </w:t>
                            </w:r>
                            <w:r w:rsidR="00A70431" w:rsidRPr="00293C9D">
                              <w:rPr>
                                <w:rFonts w:asciiTheme="minorHAnsi" w:hAnsiTheme="minorHAnsi" w:cstheme="minorHAnsi"/>
                                <w:color w:val="FF0000"/>
                                <w:sz w:val="18"/>
                                <w:szCs w:val="18"/>
                              </w:rPr>
                              <w:t>injuries /</w:t>
                            </w:r>
                            <w:r w:rsidR="00A70431" w:rsidRPr="00A70431">
                              <w:rPr>
                                <w:rFonts w:asciiTheme="minorHAnsi" w:hAnsiTheme="minorHAnsi" w:cstheme="minorHAnsi"/>
                                <w:sz w:val="18"/>
                                <w:szCs w:val="18"/>
                              </w:rPr>
                              <w:t xml:space="preserve"> </w:t>
                            </w:r>
                            <w:r w:rsidR="00A70431" w:rsidRPr="00293C9D">
                              <w:rPr>
                                <w:rFonts w:asciiTheme="minorHAnsi" w:hAnsiTheme="minorHAnsi" w:cstheme="minorHAnsi"/>
                                <w:color w:val="99FFCC"/>
                                <w:sz w:val="18"/>
                                <w:szCs w:val="18"/>
                                <w14:textFill>
                                  <w14:gradFill>
                                    <w14:gsLst>
                                      <w14:gs w14:pos="0">
                                        <w14:srgbClr w14:val="99FFCC">
                                          <w14:shade w14:val="30000"/>
                                          <w14:satMod w14:val="115000"/>
                                        </w14:srgbClr>
                                      </w14:gs>
                                      <w14:gs w14:pos="50000">
                                        <w14:srgbClr w14:val="99FFCC">
                                          <w14:shade w14:val="67500"/>
                                          <w14:satMod w14:val="115000"/>
                                        </w14:srgbClr>
                                      </w14:gs>
                                      <w14:gs w14:pos="100000">
                                        <w14:srgbClr w14:val="99FFCC">
                                          <w14:shade w14:val="100000"/>
                                          <w14:satMod w14:val="115000"/>
                                        </w14:srgbClr>
                                      </w14:gs>
                                    </w14:gsLst>
                                    <w14:lin w14:ang="5400000" w14:scaled="0"/>
                                  </w14:gradFill>
                                </w14:textFill>
                              </w:rPr>
                              <w:t>Climatic</w:t>
                            </w:r>
                            <w:r w:rsidRPr="00293C9D">
                              <w:rPr>
                                <w:rFonts w:asciiTheme="minorHAnsi" w:hAnsiTheme="minorHAnsi" w:cstheme="minorHAnsi"/>
                                <w:color w:val="99FFCC"/>
                                <w:sz w:val="18"/>
                                <w:szCs w:val="18"/>
                                <w14:textFill>
                                  <w14:gradFill>
                                    <w14:gsLst>
                                      <w14:gs w14:pos="0">
                                        <w14:srgbClr w14:val="99FFCC">
                                          <w14:shade w14:val="30000"/>
                                          <w14:satMod w14:val="115000"/>
                                        </w14:srgbClr>
                                      </w14:gs>
                                      <w14:gs w14:pos="50000">
                                        <w14:srgbClr w14:val="99FFCC">
                                          <w14:shade w14:val="67500"/>
                                          <w14:satMod w14:val="115000"/>
                                        </w14:srgbClr>
                                      </w14:gs>
                                      <w14:gs w14:pos="100000">
                                        <w14:srgbClr w14:val="99FFCC">
                                          <w14:shade w14:val="100000"/>
                                          <w14:satMod w14:val="115000"/>
                                        </w14:srgbClr>
                                      </w14:gs>
                                    </w14:gsLst>
                                    <w14:lin w14:ang="5400000" w14:scaled="0"/>
                                  </w14:gradFill>
                                </w14:textFill>
                              </w:rPr>
                              <w:t xml:space="preserve"> Condition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4.4pt;margin-top:130.3pt;width:180.2pt;height:30.4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" filled="f" stroked="f">
                <v:textbox>
                  <w:txbxContent>
                    <w:p w:rsidR="00293C9D" w:rsidRPr="00293C9D" w:rsidRDefault="00293C9D" w:rsidP="00293C9D">
                      <w:pPr>
                        <w:rPr>
                          <w:rFonts w:asciiTheme="minorHAnsi" w:hAnsiTheme="minorHAnsi" w:cstheme="minorHAnsi"/>
                          <w:sz w:val="18"/>
                          <w:szCs w:val="18"/>
                        </w:rPr>
                      </w:pPr>
                      <w:r w:rsidRPr="00293C9D">
                        <w:rPr>
                          <w:rFonts w:asciiTheme="minorHAnsi" w:hAnsiTheme="minorHAnsi" w:cstheme="minorHAnsi"/>
                          <w:color w:val="FF0000"/>
                          <w:sz w:val="18"/>
                          <w:szCs w:val="18"/>
                        </w:rPr>
                        <w:t xml:space="preserve">Number of </w:t>
                      </w:r>
                      <w:r w:rsidR="00A70431" w:rsidRPr="00293C9D">
                        <w:rPr>
                          <w:rFonts w:asciiTheme="minorHAnsi" w:hAnsiTheme="minorHAnsi" w:cstheme="minorHAnsi"/>
                          <w:color w:val="FF0000"/>
                          <w:sz w:val="18"/>
                          <w:szCs w:val="18"/>
                        </w:rPr>
                        <w:t>injuries /</w:t>
                      </w:r>
                      <w:r w:rsidR="00A70431" w:rsidRPr="00A70431">
                        <w:rPr>
                          <w:rFonts w:asciiTheme="minorHAnsi" w:hAnsiTheme="minorHAnsi" w:cstheme="minorHAnsi"/>
                          <w:sz w:val="18"/>
                          <w:szCs w:val="18"/>
                        </w:rPr>
                        <w:t xml:space="preserve"> </w:t>
                      </w:r>
                      <w:r w:rsidR="00A70431" w:rsidRPr="00293C9D">
                        <w:rPr>
                          <w:rFonts w:asciiTheme="minorHAnsi" w:hAnsiTheme="minorHAnsi" w:cstheme="minorHAnsi"/>
                          <w:color w:val="99FFCC"/>
                          <w:sz w:val="18"/>
                          <w:szCs w:val="18"/>
                          <w14:textFill>
                            <w14:gradFill>
                              <w14:gsLst>
                                <w14:gs w14:pos="0">
                                  <w14:srgbClr w14:val="99FFCC">
                                    <w14:shade w14:val="30000"/>
                                    <w14:satMod w14:val="115000"/>
                                  </w14:srgbClr>
                                </w14:gs>
                                <w14:gs w14:pos="50000">
                                  <w14:srgbClr w14:val="99FFCC">
                                    <w14:shade w14:val="67500"/>
                                    <w14:satMod w14:val="115000"/>
                                  </w14:srgbClr>
                                </w14:gs>
                                <w14:gs w14:pos="100000">
                                  <w14:srgbClr w14:val="99FFCC">
                                    <w14:shade w14:val="100000"/>
                                    <w14:satMod w14:val="115000"/>
                                  </w14:srgbClr>
                                </w14:gs>
                              </w14:gsLst>
                              <w14:lin w14:ang="5400000" w14:scaled="0"/>
                            </w14:gradFill>
                          </w14:textFill>
                        </w:rPr>
                        <w:t>Climatic</w:t>
                      </w:r>
                      <w:r w:rsidRPr="00293C9D">
                        <w:rPr>
                          <w:rFonts w:asciiTheme="minorHAnsi" w:hAnsiTheme="minorHAnsi" w:cstheme="minorHAnsi"/>
                          <w:color w:val="99FFCC"/>
                          <w:sz w:val="18"/>
                          <w:szCs w:val="18"/>
                          <w14:textFill>
                            <w14:gradFill>
                              <w14:gsLst>
                                <w14:gs w14:pos="0">
                                  <w14:srgbClr w14:val="99FFCC">
                                    <w14:shade w14:val="30000"/>
                                    <w14:satMod w14:val="115000"/>
                                  </w14:srgbClr>
                                </w14:gs>
                                <w14:gs w14:pos="50000">
                                  <w14:srgbClr w14:val="99FFCC">
                                    <w14:shade w14:val="67500"/>
                                    <w14:satMod w14:val="115000"/>
                                  </w14:srgbClr>
                                </w14:gs>
                                <w14:gs w14:pos="100000">
                                  <w14:srgbClr w14:val="99FFCC">
                                    <w14:shade w14:val="100000"/>
                                    <w14:satMod w14:val="115000"/>
                                  </w14:srgbClr>
                                </w14:gs>
                              </w14:gsLst>
                              <w14:lin w14:ang="5400000" w14:scaled="0"/>
                            </w14:gradFill>
                          </w14:textFill>
                        </w:rPr>
                        <w:t xml:space="preserve"> Condition</w:t>
                      </w:r>
                    </w:p>
                  </w:txbxContent>
                </v:textbox>
              </v:shape>
            </w:pict>
          </mc:Fallback>
        </mc:AlternateContent>
      </w:r>
      <w:r w:rsidR="005C411E">
        <w:rPr>
          <w:noProof/>
        </w:rPr>
        <w:drawing>
          <wp:inline distT="0" distB="0" distL="0" distR="0" wp14:anchorId="5F05875A" wp14:editId="72266AF9">
            <wp:extent cx="6267450" cy="4314825"/>
            <wp:effectExtent l="38100" t="38100" r="95250" b="857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536DF" w:rsidRPr="00301B83" w:rsidRDefault="001536DF" w:rsidP="001536DF">
      <w:pPr>
        <w:rPr>
          <w:rFonts w:asciiTheme="minorHAnsi" w:hAnsiTheme="minorHAnsi" w:cstheme="minorHAnsi"/>
        </w:rPr>
      </w:pPr>
    </w:p>
    <w:p w:rsidR="001536DF" w:rsidRPr="00301B83" w:rsidRDefault="001536DF" w:rsidP="008E32F9">
      <w:pPr>
        <w:pStyle w:val="Body"/>
      </w:pPr>
      <w:r w:rsidRPr="00301B83">
        <w:t>Time of day</w:t>
      </w:r>
      <w:r w:rsidR="0062298F">
        <w:t xml:space="preserve"> </w:t>
      </w:r>
      <w:r w:rsidRPr="00301B83">
        <w:t xml:space="preserve">is </w:t>
      </w:r>
      <w:r w:rsidR="0062298F">
        <w:t xml:space="preserve">also </w:t>
      </w:r>
      <w:r w:rsidRPr="00301B83">
        <w:t xml:space="preserve">a factor in the incidence of snow and ice related injuries.  As shown in the </w:t>
      </w:r>
      <w:r w:rsidR="00301B83">
        <w:t>Figure 10</w:t>
      </w:r>
      <w:r w:rsidRPr="00301B83">
        <w:t xml:space="preserve">, snow/ice related slips and fall injuries occur in a pattern throughout the day.  Most injuries happened </w:t>
      </w:r>
      <w:r w:rsidR="005A3C4F">
        <w:t>between</w:t>
      </w:r>
      <w:r w:rsidRPr="00301B83">
        <w:t xml:space="preserve"> 6</w:t>
      </w:r>
      <w:r w:rsidR="004D2FA5">
        <w:t xml:space="preserve"> </w:t>
      </w:r>
      <w:r w:rsidRPr="00301B83">
        <w:t>a</w:t>
      </w:r>
      <w:r w:rsidR="004D2FA5">
        <w:t>.</w:t>
      </w:r>
      <w:r w:rsidRPr="00301B83">
        <w:t>m</w:t>
      </w:r>
      <w:r w:rsidR="004D2FA5">
        <w:t>.</w:t>
      </w:r>
      <w:r w:rsidRPr="00301B83">
        <w:t xml:space="preserve"> </w:t>
      </w:r>
      <w:r w:rsidR="005A3C4F">
        <w:t>and 6</w:t>
      </w:r>
      <w:r w:rsidR="004D2FA5">
        <w:t xml:space="preserve"> </w:t>
      </w:r>
      <w:r w:rsidRPr="00301B83">
        <w:t>p</w:t>
      </w:r>
      <w:r w:rsidR="004D2FA5">
        <w:t>.</w:t>
      </w:r>
      <w:r w:rsidRPr="00301B83">
        <w:t>m</w:t>
      </w:r>
      <w:r w:rsidR="004D2FA5">
        <w:t>.</w:t>
      </w:r>
      <w:r w:rsidR="00875457">
        <w:t xml:space="preserve">, </w:t>
      </w:r>
      <w:r w:rsidRPr="00301B83">
        <w:t>the typica</w:t>
      </w:r>
      <w:r w:rsidR="00875457">
        <w:t xml:space="preserve">l working and commuting hours, </w:t>
      </w:r>
      <w:r w:rsidRPr="00301B83">
        <w:t xml:space="preserve">with the highest number of injuries </w:t>
      </w:r>
      <w:r w:rsidR="005A3C4F">
        <w:t xml:space="preserve">occurring </w:t>
      </w:r>
      <w:r w:rsidR="00F24782">
        <w:t>between</w:t>
      </w:r>
      <w:r w:rsidRPr="00301B83">
        <w:t xml:space="preserve"> 6</w:t>
      </w:r>
      <w:r w:rsidR="004D2FA5">
        <w:t xml:space="preserve"> </w:t>
      </w:r>
      <w:r w:rsidR="005A3C4F">
        <w:t>and</w:t>
      </w:r>
      <w:r w:rsidRPr="00301B83">
        <w:t xml:space="preserve"> 9</w:t>
      </w:r>
      <w:r w:rsidR="004D2FA5">
        <w:t xml:space="preserve"> </w:t>
      </w:r>
      <w:r w:rsidRPr="00301B83">
        <w:t>a</w:t>
      </w:r>
      <w:r w:rsidR="004D2FA5">
        <w:t>.</w:t>
      </w:r>
      <w:r w:rsidRPr="00301B83">
        <w:t>m.</w:t>
      </w:r>
      <w:r w:rsidR="004D2FA5">
        <w:t xml:space="preserve">  About 17 percent occur during lunchtime (11:30</w:t>
      </w:r>
      <w:r w:rsidR="00D807DA">
        <w:t xml:space="preserve"> a.m</w:t>
      </w:r>
      <w:r w:rsidR="002F169F">
        <w:t>.</w:t>
      </w:r>
      <w:r w:rsidR="004D2FA5">
        <w:t xml:space="preserve"> to 1:30</w:t>
      </w:r>
      <w:r w:rsidR="00D807DA">
        <w:t xml:space="preserve"> p.m.</w:t>
      </w:r>
      <w:r w:rsidR="004D2FA5">
        <w:t>).</w:t>
      </w:r>
    </w:p>
    <w:p w:rsidR="001536DF" w:rsidRPr="00301B83" w:rsidRDefault="001536DF" w:rsidP="008E32F9">
      <w:pPr>
        <w:pStyle w:val="Body"/>
      </w:pPr>
      <w:r w:rsidRPr="00301B83">
        <w:t>One might anticipate a different distribution of incidents for businesses or establishments that operate both day and night with injuries spr</w:t>
      </w:r>
      <w:r w:rsidR="005A3C4F">
        <w:t>eading out across a 24-</w:t>
      </w:r>
      <w:r w:rsidRPr="00301B83">
        <w:t>hour period because a larger number of employees would work throughout the night</w:t>
      </w:r>
      <w:r w:rsidR="005A3C4F">
        <w:t>, arriving at and leaving</w:t>
      </w:r>
      <w:r w:rsidRPr="00301B83">
        <w:t xml:space="preserve"> work during non-typical commuting hours. However, as </w:t>
      </w:r>
      <w:r w:rsidR="00301B83">
        <w:t>Figure 10</w:t>
      </w:r>
      <w:r w:rsidRPr="00301B83">
        <w:t xml:space="preserve"> also shows, there was only slight variation in the daily distribution of injuries between one such “24/7” establishment (the health care industry) and all others.</w:t>
      </w:r>
    </w:p>
    <w:p w:rsidR="001536DF" w:rsidRDefault="001536DF" w:rsidP="001536DF">
      <w:pPr>
        <w:jc w:val="center"/>
        <w:rPr>
          <w:noProof/>
        </w:rPr>
      </w:pPr>
    </w:p>
    <w:p w:rsidR="001536DF" w:rsidRDefault="002710D6" w:rsidP="001536DF">
      <w:pPr>
        <w:jc w:val="center"/>
      </w:pPr>
      <w:r>
        <w:rPr>
          <w:noProof/>
        </w:rPr>
        <w:lastRenderedPageBreak/>
        <mc:AlternateContent>
          <mc:Choice Requires="wps">
            <w:drawing>
              <wp:anchor distT="0" distB="0" distL="114300" distR="114300" simplePos="0" relativeHeight="251694080" behindDoc="0" locked="0" layoutInCell="1" allowOverlap="1" wp14:editId="36B11C9B">
                <wp:simplePos x="0" y="0"/>
                <wp:positionH relativeFrom="column">
                  <wp:posOffset>788806</wp:posOffset>
                </wp:positionH>
                <wp:positionV relativeFrom="paragraph">
                  <wp:posOffset>1060948</wp:posOffset>
                </wp:positionV>
                <wp:extent cx="1469572" cy="1403985"/>
                <wp:effectExtent l="952"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69572" cy="1403985"/>
                        </a:xfrm>
                        <a:prstGeom prst="rect">
                          <a:avLst/>
                        </a:prstGeom>
                        <a:noFill/>
                        <a:ln w="9525">
                          <a:noFill/>
                          <a:miter lim="800000"/>
                          <a:headEnd/>
                          <a:tailEnd/>
                        </a:ln>
                      </wps:spPr>
                      <wps:txbx>
                        <w:txbxContent>
                          <w:p w:rsidR="002710D6" w:rsidRPr="005452F1" w:rsidRDefault="002710D6">
                            <w:pPr>
                              <w:rPr>
                                <w:rFonts w:asciiTheme="minorHAnsi" w:hAnsiTheme="minorHAnsi" w:cstheme="minorHAnsi"/>
                                <w:sz w:val="22"/>
                                <w:szCs w:val="22"/>
                              </w:rPr>
                            </w:pPr>
                            <w:r w:rsidRPr="005452F1">
                              <w:rPr>
                                <w:rFonts w:asciiTheme="minorHAnsi" w:hAnsiTheme="minorHAnsi" w:cstheme="minorHAnsi"/>
                                <w:sz w:val="22"/>
                                <w:szCs w:val="22"/>
                              </w:rPr>
                              <w:t>Number of Injuries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62.1pt;margin-top:83.55pt;width:115.7pt;height:110.55pt;rotation:-90;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" filled="f" stroked="f">
                <v:textbox style="mso-fit-shape-to-text:t">
                  <w:txbxContent>
                    <w:p w:rsidR="002710D6" w:rsidRPr="005452F1" w:rsidRDefault="002710D6">
                      <w:pPr>
                        <w:rPr>
                          <w:rFonts w:asciiTheme="minorHAnsi" w:hAnsiTheme="minorHAnsi" w:cstheme="minorHAnsi"/>
                          <w:sz w:val="22"/>
                          <w:szCs w:val="22"/>
                        </w:rPr>
                      </w:pPr>
                      <w:r w:rsidRPr="005452F1">
                        <w:rPr>
                          <w:rFonts w:asciiTheme="minorHAnsi" w:hAnsiTheme="minorHAnsi" w:cstheme="minorHAnsi"/>
                          <w:sz w:val="22"/>
                          <w:szCs w:val="22"/>
                        </w:rPr>
                        <w:t>Number of Injuries</w:t>
                      </w:r>
                    </w:p>
                  </w:txbxContent>
                </v:textbox>
              </v:shape>
            </w:pict>
          </mc:Fallback>
        </mc:AlternateContent>
      </w:r>
      <w:r w:rsidR="00D240B9">
        <w:rPr>
          <w:noProof/>
        </w:rPr>
        <mc:AlternateContent>
          <mc:Choice Requires="wps">
            <w:drawing>
              <wp:anchor distT="0" distB="0" distL="114300" distR="114300" simplePos="0" relativeHeight="251678720" behindDoc="0" locked="0" layoutInCell="1" allowOverlap="1" wp14:anchorId="46E2C625" wp14:editId="04D864AB">
                <wp:simplePos x="0" y="0"/>
                <wp:positionH relativeFrom="column">
                  <wp:posOffset>798195</wp:posOffset>
                </wp:positionH>
                <wp:positionV relativeFrom="paragraph">
                  <wp:posOffset>3505200</wp:posOffset>
                </wp:positionV>
                <wp:extent cx="1666875" cy="238125"/>
                <wp:effectExtent l="0" t="0" r="9525"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38125"/>
                        </a:xfrm>
                        <a:prstGeom prst="rect">
                          <a:avLst/>
                        </a:prstGeom>
                        <a:solidFill>
                          <a:srgbClr val="FFFFFF"/>
                        </a:solidFill>
                        <a:ln w="9525">
                          <a:noFill/>
                          <a:miter lim="800000"/>
                          <a:headEnd/>
                          <a:tailEnd/>
                        </a:ln>
                      </wps:spPr>
                      <wps:txbx>
                        <w:txbxContent>
                          <w:p w:rsidR="00D240B9" w:rsidRPr="00D240B9" w:rsidRDefault="00D240B9">
                            <w:pPr>
                              <w:rPr>
                                <w:rFonts w:asciiTheme="minorHAnsi" w:hAnsiTheme="minorHAnsi" w:cstheme="minorHAnsi"/>
                                <w:color w:val="0F243E" w:themeColor="text2" w:themeShade="80"/>
                                <w:sz w:val="16"/>
                                <w:szCs w:val="16"/>
                              </w:rPr>
                            </w:pPr>
                            <w:r w:rsidRPr="00D240B9">
                              <w:rPr>
                                <w:rFonts w:asciiTheme="minorHAnsi" w:hAnsiTheme="minorHAnsi" w:cstheme="minorHAnsi"/>
                                <w:color w:val="0F243E" w:themeColor="text2" w:themeShade="80"/>
                                <w:sz w:val="16"/>
                                <w:szCs w:val="16"/>
                              </w:rPr>
                              <w:t>*January 2012 through June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62.85pt;margin-top:276pt;width:131.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" stroked="f">
                <v:textbox>
                  <w:txbxContent>
                    <w:p w:rsidR="00D240B9" w:rsidRPr="00D240B9" w:rsidRDefault="00D240B9">
                      <w:pPr>
                        <w:rPr>
                          <w:rFonts w:asciiTheme="minorHAnsi" w:hAnsiTheme="minorHAnsi" w:cstheme="minorHAnsi"/>
                          <w:color w:val="0F243E" w:themeColor="text2" w:themeShade="80"/>
                          <w:sz w:val="16"/>
                          <w:szCs w:val="16"/>
                        </w:rPr>
                      </w:pPr>
                      <w:r w:rsidRPr="00D240B9">
                        <w:rPr>
                          <w:rFonts w:asciiTheme="minorHAnsi" w:hAnsiTheme="minorHAnsi" w:cstheme="minorHAnsi"/>
                          <w:color w:val="0F243E" w:themeColor="text2" w:themeShade="80"/>
                          <w:sz w:val="16"/>
                          <w:szCs w:val="16"/>
                        </w:rPr>
                        <w:t>*January 2012 through June 2013</w:t>
                      </w:r>
                    </w:p>
                  </w:txbxContent>
                </v:textbox>
              </v:shape>
            </w:pict>
          </mc:Fallback>
        </mc:AlternateContent>
      </w:r>
      <w:r w:rsidR="001536DF">
        <w:rPr>
          <w:noProof/>
        </w:rPr>
        <w:drawing>
          <wp:inline distT="0" distB="0" distL="0" distR="0" wp14:anchorId="7C9AA4D2" wp14:editId="53B20F0A">
            <wp:extent cx="5097293" cy="3861881"/>
            <wp:effectExtent l="38100" t="38100" r="103505" b="10096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313DF" w:rsidRDefault="002313DF" w:rsidP="001536DF">
      <w:pPr>
        <w:rPr>
          <w:rFonts w:asciiTheme="minorHAnsi" w:hAnsiTheme="minorHAnsi" w:cstheme="minorHAnsi"/>
          <w:u w:val="single"/>
        </w:rPr>
      </w:pPr>
    </w:p>
    <w:p w:rsidR="001536DF" w:rsidRPr="00301B83" w:rsidRDefault="001536DF" w:rsidP="008E32F9">
      <w:pPr>
        <w:pStyle w:val="Heading2"/>
      </w:pPr>
      <w:r w:rsidRPr="00301B83">
        <w:t>Discussion</w:t>
      </w:r>
    </w:p>
    <w:p w:rsidR="001536DF" w:rsidRPr="00301B83" w:rsidRDefault="001536DF" w:rsidP="008E32F9">
      <w:pPr>
        <w:pStyle w:val="Body"/>
      </w:pPr>
      <w:r w:rsidRPr="00301B83">
        <w:t>If there were a tool, machine, process or worksite condition that caused 25,000 days of lost</w:t>
      </w:r>
      <w:r w:rsidR="005A3C4F">
        <w:t>-</w:t>
      </w:r>
      <w:r w:rsidRPr="00301B83">
        <w:t>time injuries each year in Maine</w:t>
      </w:r>
      <w:r w:rsidR="005A3C4F">
        <w:t xml:space="preserve"> with more than</w:t>
      </w:r>
      <w:r w:rsidRPr="00301B83">
        <w:t xml:space="preserve"> $1.5 million in annual medical costs, no doubt it would be in the headlines. </w:t>
      </w:r>
      <w:r w:rsidR="005A3C4F">
        <w:t>One could imagine that by</w:t>
      </w:r>
      <w:r w:rsidRPr="00301B83">
        <w:t xml:space="preserve"> now regulators would have </w:t>
      </w:r>
      <w:r w:rsidR="00D807DA">
        <w:t>looked for</w:t>
      </w:r>
      <w:r w:rsidRPr="00301B83">
        <w:t xml:space="preserve"> engineering controls</w:t>
      </w:r>
      <w:r w:rsidR="005E2067">
        <w:t xml:space="preserve"> or</w:t>
      </w:r>
      <w:r w:rsidR="00D807DA">
        <w:t xml:space="preserve"> would have required</w:t>
      </w:r>
      <w:r w:rsidRPr="00301B83">
        <w:t xml:space="preserve"> administrative controls and personal protection requirements to minimize those injuries</w:t>
      </w:r>
      <w:r w:rsidR="005E2067">
        <w:t>. Indeed, e</w:t>
      </w:r>
      <w:r w:rsidR="005E2067" w:rsidRPr="00301B83">
        <w:t>conomics alone</w:t>
      </w:r>
      <w:r w:rsidR="005E2067">
        <w:t xml:space="preserve"> would </w:t>
      </w:r>
      <w:r w:rsidR="00A11DED">
        <w:t>compel</w:t>
      </w:r>
      <w:r w:rsidRPr="00301B83">
        <w:t xml:space="preserve"> man</w:t>
      </w:r>
      <w:r w:rsidR="00F24782">
        <w:t xml:space="preserve">y establishments and employers </w:t>
      </w:r>
      <w:r w:rsidRPr="00301B83">
        <w:t xml:space="preserve">to take such measures.  </w:t>
      </w:r>
      <w:r w:rsidR="005E2067">
        <w:t>Yet such steps have not been implemented</w:t>
      </w:r>
      <w:r w:rsidRPr="00301B83">
        <w:t xml:space="preserve"> to combat slips and falls on snow and ice in spite </w:t>
      </w:r>
      <w:r w:rsidR="005E2067">
        <w:t xml:space="preserve">of </w:t>
      </w:r>
      <w:r w:rsidRPr="00301B83">
        <w:t>th</w:t>
      </w:r>
      <w:r w:rsidR="00054E0F">
        <w:t xml:space="preserve">e large number of injuries </w:t>
      </w:r>
      <w:r w:rsidRPr="00301B83">
        <w:t>and economic costs.</w:t>
      </w:r>
    </w:p>
    <w:p w:rsidR="001536DF" w:rsidRPr="00301B83" w:rsidRDefault="001536DF" w:rsidP="008E32F9">
      <w:pPr>
        <w:pStyle w:val="Body"/>
      </w:pPr>
      <w:r w:rsidRPr="00301B83">
        <w:t xml:space="preserve">There seems to be no systemic approach (regulatory, voluntary or otherwise) to limit these accidents beyond the OSHA General Duty Clause and indirect workplace controls.  This may be, in part, because winter weather hazards are ubiquitous and uncontrolled; they do not lend themselves </w:t>
      </w:r>
      <w:r w:rsidR="002313DF" w:rsidRPr="00301B83">
        <w:t xml:space="preserve">nicely </w:t>
      </w:r>
      <w:r w:rsidRPr="00301B83">
        <w:t>to straight-forward regulations or corrective actions and</w:t>
      </w:r>
      <w:r w:rsidR="005E2067">
        <w:t>,</w:t>
      </w:r>
      <w:r w:rsidRPr="00301B83">
        <w:t xml:space="preserve"> by their nature</w:t>
      </w:r>
      <w:r w:rsidR="005E2067">
        <w:t>,</w:t>
      </w:r>
      <w:r w:rsidRPr="00301B83">
        <w:t xml:space="preserve"> may be viewed as inevitable.  Moreover, since slips and falls on snow and ice happen as much in the outside world as they do at work and they happen the same way to individuals in either setting, they may be less perceived as work</w:t>
      </w:r>
      <w:r w:rsidR="005E2067">
        <w:t>-</w:t>
      </w:r>
      <w:r w:rsidRPr="00301B83">
        <w:t xml:space="preserve">related problems </w:t>
      </w:r>
      <w:r w:rsidR="00054E0F">
        <w:t xml:space="preserve">and </w:t>
      </w:r>
      <w:r w:rsidR="005E2067">
        <w:t xml:space="preserve">therefore not fully </w:t>
      </w:r>
      <w:r w:rsidR="00054E0F">
        <w:t>considered a</w:t>
      </w:r>
      <w:r w:rsidRPr="00301B83">
        <w:t xml:space="preserve"> </w:t>
      </w:r>
      <w:r w:rsidR="009B48A2" w:rsidRPr="00301B83">
        <w:t>singular</w:t>
      </w:r>
      <w:r w:rsidRPr="00301B83">
        <w:t xml:space="preserve"> r</w:t>
      </w:r>
      <w:r w:rsidR="002313DF">
        <w:t>esponsibility of employer</w:t>
      </w:r>
      <w:r w:rsidR="00054E0F">
        <w:t>s</w:t>
      </w:r>
      <w:r w:rsidR="002313DF">
        <w:t xml:space="preserve">. </w:t>
      </w:r>
    </w:p>
    <w:p w:rsidR="001536DF" w:rsidRPr="00301B83" w:rsidRDefault="001536DF" w:rsidP="008E32F9">
      <w:pPr>
        <w:pStyle w:val="Body"/>
      </w:pPr>
      <w:r w:rsidRPr="00301B83">
        <w:t xml:space="preserve">That is not to imply that employers, regulators or workers are unconcerned or uninvolved with the hazards of ice and snow.  Most establishments carry out diligent roadway, walkway and parking lot clearing and maintenance </w:t>
      </w:r>
      <w:r w:rsidR="00D807DA">
        <w:t xml:space="preserve">and </w:t>
      </w:r>
      <w:r w:rsidR="009B48A2">
        <w:t>many have implemented special</w:t>
      </w:r>
      <w:r w:rsidR="00293C9D">
        <w:t xml:space="preserve"> prevention strategies</w:t>
      </w:r>
      <w:r w:rsidRPr="00301B83">
        <w:t xml:space="preserve">.  There also seems to be </w:t>
      </w:r>
      <w:r w:rsidR="009B48A2">
        <w:t>no shortage</w:t>
      </w:r>
      <w:r w:rsidRPr="00301B83">
        <w:t xml:space="preserve"> of publications by companies, insurance carriers, attorneys, agencies and other organizations that </w:t>
      </w:r>
      <w:r w:rsidRPr="00301B83">
        <w:lastRenderedPageBreak/>
        <w:t xml:space="preserve">offer tips, ideas and sometimes even friction coefficient-reducing materials to help workers avoid these accidents.  </w:t>
      </w:r>
      <w:r w:rsidR="00D807DA">
        <w:t>However</w:t>
      </w:r>
      <w:r w:rsidRPr="00301B83">
        <w:t>, most are in the form of suggestions for others</w:t>
      </w:r>
      <w:r w:rsidR="00D807DA">
        <w:t xml:space="preserve"> to follow</w:t>
      </w:r>
      <w:r w:rsidRPr="00301B83">
        <w:t xml:space="preserve"> rather than coordinated approaches </w:t>
      </w:r>
      <w:r w:rsidR="009B48A2">
        <w:t>involving</w:t>
      </w:r>
      <w:r w:rsidRPr="00301B83">
        <w:t xml:space="preserve"> employers, workers and others in their respective roles</w:t>
      </w:r>
      <w:r w:rsidR="009B48A2">
        <w:t>. F</w:t>
      </w:r>
      <w:r w:rsidR="00D807DA">
        <w:t>ew, if any,</w:t>
      </w:r>
      <w:r w:rsidRPr="00301B83">
        <w:t xml:space="preserve"> actually measure </w:t>
      </w:r>
      <w:r w:rsidR="009B48A2">
        <w:t xml:space="preserve">or report </w:t>
      </w:r>
      <w:r w:rsidRPr="00301B83">
        <w:t>the success of</w:t>
      </w:r>
      <w:r w:rsidR="009B48A2">
        <w:t xml:space="preserve"> any</w:t>
      </w:r>
      <w:r w:rsidRPr="00301B83">
        <w:t xml:space="preserve"> technique</w:t>
      </w:r>
      <w:r w:rsidR="00D807DA">
        <w:t>s</w:t>
      </w:r>
      <w:r w:rsidRPr="00301B83">
        <w:t xml:space="preserve"> or program</w:t>
      </w:r>
      <w:r w:rsidR="00D807DA">
        <w:t>s</w:t>
      </w:r>
      <w:r w:rsidRPr="00301B83">
        <w:t xml:space="preserve"> in reducing the accidents or in</w:t>
      </w:r>
      <w:r w:rsidR="00D807DA">
        <w:t xml:space="preserve">juries. </w:t>
      </w:r>
    </w:p>
    <w:p w:rsidR="00C42340" w:rsidRDefault="0051411E" w:rsidP="008E32F9">
      <w:pPr>
        <w:pStyle w:val="Body"/>
      </w:pPr>
      <w:r w:rsidRPr="00301B83">
        <w:t xml:space="preserve">Perhaps </w:t>
      </w:r>
      <w:r w:rsidR="00D807DA">
        <w:t>the</w:t>
      </w:r>
      <w:r w:rsidR="001536DF" w:rsidRPr="00301B83">
        <w:t xml:space="preserve"> first step </w:t>
      </w:r>
      <w:r w:rsidRPr="00301B83">
        <w:t>should</w:t>
      </w:r>
      <w:r w:rsidR="001536DF" w:rsidRPr="00301B83">
        <w:t xml:space="preserve"> be a coordinated exchange or symposium to gather and share ideas, experiences, and measured results among employers, workers</w:t>
      </w:r>
      <w:r w:rsidR="002313DF">
        <w:t>,</w:t>
      </w:r>
      <w:r w:rsidR="001536DF" w:rsidRPr="00301B83">
        <w:t xml:space="preserve"> agencies and others.  This could serve to inform, enlighten and generally help everyone find better and</w:t>
      </w:r>
      <w:r w:rsidR="005E2067">
        <w:t>,</w:t>
      </w:r>
      <w:r w:rsidR="001536DF" w:rsidRPr="00301B83">
        <w:t xml:space="preserve"> perhaps</w:t>
      </w:r>
      <w:r w:rsidR="005E2067">
        <w:t>,</w:t>
      </w:r>
      <w:r w:rsidR="001536DF" w:rsidRPr="00301B83">
        <w:t xml:space="preserve"> more systematic </w:t>
      </w:r>
      <w:r w:rsidR="002313DF">
        <w:t>means</w:t>
      </w:r>
      <w:r w:rsidR="001536DF" w:rsidRPr="00301B83">
        <w:t xml:space="preserve"> to reduce these kinds of injuries and costs.  </w:t>
      </w:r>
      <w:r w:rsidR="00D807DA">
        <w:t>It could also lead to development of a “Best Practices” manual</w:t>
      </w:r>
      <w:r w:rsidR="009B48A2">
        <w:t xml:space="preserve"> </w:t>
      </w:r>
      <w:r w:rsidR="002E4B7E">
        <w:t>to help</w:t>
      </w:r>
      <w:r w:rsidR="009B48A2">
        <w:t xml:space="preserve"> employers and employees </w:t>
      </w:r>
      <w:r w:rsidR="002E4B7E">
        <w:t>target injury-prevention activities</w:t>
      </w:r>
      <w:r w:rsidR="00A11DED">
        <w:t>.  I</w:t>
      </w:r>
      <w:r w:rsidR="00D807DA">
        <w:t>n the future t</w:t>
      </w:r>
      <w:r w:rsidR="001536DF" w:rsidRPr="00301B83">
        <w:t xml:space="preserve">he </w:t>
      </w:r>
      <w:r w:rsidR="002313DF">
        <w:t>Departmen</w:t>
      </w:r>
      <w:r w:rsidR="009B48A2">
        <w:t xml:space="preserve">t of Labor and other organizations may benefit by </w:t>
      </w:r>
      <w:r w:rsidR="001536DF" w:rsidRPr="00301B83">
        <w:t>organiz</w:t>
      </w:r>
      <w:r w:rsidR="009B48A2">
        <w:t>ing</w:t>
      </w:r>
      <w:r w:rsidR="001536DF" w:rsidRPr="00301B83">
        <w:t xml:space="preserve"> and</w:t>
      </w:r>
      <w:r w:rsidR="009B48A2">
        <w:t>/or</w:t>
      </w:r>
      <w:r w:rsidR="001536DF" w:rsidRPr="00301B83">
        <w:t xml:space="preserve"> facilitat</w:t>
      </w:r>
      <w:r w:rsidR="009B48A2">
        <w:t>ing</w:t>
      </w:r>
      <w:r w:rsidR="001536DF" w:rsidRPr="00301B83">
        <w:t xml:space="preserve"> such an exchange.</w:t>
      </w:r>
    </w:p>
    <w:p w:rsidR="00E155DC" w:rsidRDefault="00E155DC" w:rsidP="00C42340">
      <w:pPr>
        <w:rPr>
          <w:rFonts w:asciiTheme="minorHAnsi" w:hAnsiTheme="minorHAnsi" w:cstheme="minorHAnsi"/>
        </w:rPr>
      </w:pPr>
    </w:p>
    <w:p w:rsidR="00E155DC" w:rsidRPr="001478BA" w:rsidRDefault="00E155DC" w:rsidP="00E155DC">
      <w:pPr>
        <w:spacing w:after="60"/>
        <w:jc w:val="center"/>
        <w:rPr>
          <w:rFonts w:asciiTheme="minorHAnsi" w:hAnsiTheme="minorHAnsi" w:cstheme="minorHAnsi"/>
          <w:sz w:val="18"/>
          <w:szCs w:val="18"/>
        </w:rPr>
      </w:pPr>
      <w:r w:rsidRPr="001478BA">
        <w:rPr>
          <w:rFonts w:asciiTheme="minorHAnsi" w:hAnsiTheme="minorHAnsi" w:cstheme="minorHAnsi"/>
          <w:sz w:val="18"/>
          <w:szCs w:val="18"/>
        </w:rPr>
        <w:t>Research for this report was prepared by Mark B. Dawson</w:t>
      </w:r>
    </w:p>
    <w:p w:rsidR="00E155DC" w:rsidRPr="001478BA" w:rsidRDefault="00E155DC" w:rsidP="00E155DC">
      <w:pPr>
        <w:spacing w:after="60"/>
        <w:jc w:val="center"/>
        <w:rPr>
          <w:rFonts w:asciiTheme="minorHAnsi" w:hAnsiTheme="minorHAnsi" w:cstheme="minorHAnsi"/>
          <w:sz w:val="18"/>
          <w:szCs w:val="18"/>
        </w:rPr>
      </w:pPr>
      <w:r w:rsidRPr="001478BA">
        <w:rPr>
          <w:rFonts w:asciiTheme="minorHAnsi" w:hAnsiTheme="minorHAnsi" w:cstheme="minorHAnsi"/>
          <w:sz w:val="18"/>
          <w:szCs w:val="18"/>
        </w:rPr>
        <w:t>Research and Statistics Unit, Division of Technical Services</w:t>
      </w:r>
    </w:p>
    <w:p w:rsidR="00E155DC" w:rsidRPr="001478BA" w:rsidRDefault="00E155DC" w:rsidP="00E155DC">
      <w:pPr>
        <w:spacing w:after="60"/>
        <w:jc w:val="center"/>
        <w:rPr>
          <w:rFonts w:asciiTheme="minorHAnsi" w:hAnsiTheme="minorHAnsi" w:cstheme="minorHAnsi"/>
          <w:sz w:val="18"/>
          <w:szCs w:val="18"/>
        </w:rPr>
      </w:pPr>
      <w:r w:rsidRPr="001478BA">
        <w:rPr>
          <w:rFonts w:asciiTheme="minorHAnsi" w:hAnsiTheme="minorHAnsi" w:cstheme="minorHAnsi"/>
          <w:sz w:val="18"/>
          <w:szCs w:val="18"/>
        </w:rPr>
        <w:t>Bureau of Labor Standards</w:t>
      </w:r>
    </w:p>
    <w:p w:rsidR="00E155DC" w:rsidRPr="001478BA" w:rsidRDefault="00E155DC" w:rsidP="00E155DC">
      <w:pPr>
        <w:spacing w:after="60"/>
        <w:jc w:val="center"/>
        <w:rPr>
          <w:rFonts w:asciiTheme="minorHAnsi" w:hAnsiTheme="minorHAnsi" w:cstheme="minorHAnsi"/>
          <w:sz w:val="18"/>
          <w:szCs w:val="18"/>
        </w:rPr>
      </w:pPr>
      <w:r w:rsidRPr="001478BA">
        <w:rPr>
          <w:rFonts w:asciiTheme="minorHAnsi" w:hAnsiTheme="minorHAnsi" w:cstheme="minorHAnsi"/>
          <w:sz w:val="18"/>
          <w:szCs w:val="18"/>
        </w:rPr>
        <w:t>Maine State Department of Labor</w:t>
      </w:r>
    </w:p>
    <w:p w:rsidR="00E155DC" w:rsidRPr="001478BA" w:rsidRDefault="00E155DC" w:rsidP="00E155DC">
      <w:pPr>
        <w:spacing w:after="60"/>
        <w:jc w:val="center"/>
        <w:rPr>
          <w:rFonts w:asciiTheme="minorHAnsi" w:hAnsiTheme="minorHAnsi" w:cstheme="minorHAnsi"/>
          <w:sz w:val="18"/>
          <w:szCs w:val="18"/>
        </w:rPr>
      </w:pPr>
    </w:p>
    <w:p w:rsidR="00E155DC" w:rsidRPr="001478BA" w:rsidRDefault="00E155DC" w:rsidP="00E155DC">
      <w:pPr>
        <w:spacing w:after="60"/>
        <w:jc w:val="center"/>
        <w:rPr>
          <w:rFonts w:asciiTheme="minorHAnsi" w:hAnsiTheme="minorHAnsi" w:cstheme="minorHAnsi"/>
          <w:sz w:val="18"/>
          <w:szCs w:val="18"/>
        </w:rPr>
      </w:pPr>
      <w:r w:rsidRPr="001478BA">
        <w:rPr>
          <w:rFonts w:asciiTheme="minorHAnsi" w:hAnsiTheme="minorHAnsi" w:cstheme="minorHAnsi"/>
          <w:sz w:val="18"/>
          <w:szCs w:val="18"/>
        </w:rPr>
        <w:t>For more information regarding this report, contact</w:t>
      </w:r>
    </w:p>
    <w:p w:rsidR="00D64292" w:rsidRDefault="00E155DC" w:rsidP="00D64292">
      <w:pPr>
        <w:spacing w:after="60"/>
        <w:jc w:val="center"/>
        <w:rPr>
          <w:rFonts w:asciiTheme="minorHAnsi" w:hAnsiTheme="minorHAnsi" w:cstheme="minorHAnsi"/>
          <w:sz w:val="18"/>
          <w:szCs w:val="18"/>
        </w:rPr>
      </w:pPr>
      <w:r w:rsidRPr="001478BA">
        <w:rPr>
          <w:rFonts w:asciiTheme="minorHAnsi" w:hAnsiTheme="minorHAnsi" w:cstheme="minorHAnsi"/>
          <w:sz w:val="18"/>
          <w:szCs w:val="18"/>
        </w:rPr>
        <w:t>Mark B. Dawson, 207-623-7904</w:t>
      </w:r>
    </w:p>
    <w:p w:rsidR="007D7DDF" w:rsidRDefault="007D7DDF" w:rsidP="00D64292">
      <w:pPr>
        <w:spacing w:after="60"/>
        <w:jc w:val="center"/>
        <w:rPr>
          <w:rFonts w:asciiTheme="minorHAnsi" w:hAnsiTheme="minorHAnsi" w:cstheme="minorHAnsi"/>
          <w:sz w:val="18"/>
          <w:szCs w:val="18"/>
        </w:rPr>
      </w:pPr>
      <w:r>
        <w:rPr>
          <w:rFonts w:asciiTheme="minorHAnsi" w:hAnsiTheme="minorHAnsi" w:cstheme="minorHAnsi"/>
          <w:sz w:val="18"/>
          <w:szCs w:val="18"/>
        </w:rPr>
        <w:t>TTY users call Maine Relay 711</w:t>
      </w:r>
    </w:p>
    <w:p w:rsidR="00D64292" w:rsidRDefault="00D64292" w:rsidP="00D64292">
      <w:pPr>
        <w:spacing w:after="60"/>
        <w:jc w:val="center"/>
        <w:rPr>
          <w:rFonts w:asciiTheme="minorHAnsi" w:hAnsiTheme="minorHAnsi" w:cstheme="minorHAnsi"/>
          <w:sz w:val="18"/>
          <w:szCs w:val="18"/>
        </w:rPr>
      </w:pPr>
    </w:p>
    <w:p w:rsidR="00D64292" w:rsidRPr="001478BA" w:rsidRDefault="00D64292" w:rsidP="00D64292">
      <w:pPr>
        <w:spacing w:after="60"/>
        <w:rPr>
          <w:rFonts w:asciiTheme="minorHAnsi" w:hAnsiTheme="minorHAnsi" w:cstheme="minorHAnsi"/>
          <w:sz w:val="18"/>
          <w:szCs w:val="18"/>
        </w:rPr>
      </w:pPr>
    </w:p>
    <w:p w:rsidR="00E155DC" w:rsidRPr="00301B83" w:rsidRDefault="00131CFB" w:rsidP="00131CFB">
      <w:pPr>
        <w:pStyle w:val="disclaimer"/>
        <w:rPr>
          <w:rFonts w:asciiTheme="minorHAnsi" w:hAnsiTheme="minorHAnsi" w:cstheme="minorHAnsi"/>
        </w:rPr>
      </w:pPr>
      <w:r>
        <w:rPr>
          <w:noProof/>
        </w:rPr>
        <w:drawing>
          <wp:anchor distT="0" distB="0" distL="114300" distR="114300" simplePos="0" relativeHeight="251692032" behindDoc="0" locked="0" layoutInCell="1" allowOverlap="1" wp14:anchorId="7A881249" wp14:editId="51328270">
            <wp:simplePos x="0" y="0"/>
            <wp:positionH relativeFrom="column">
              <wp:posOffset>41910</wp:posOffset>
            </wp:positionH>
            <wp:positionV relativeFrom="paragraph">
              <wp:posOffset>3896323</wp:posOffset>
            </wp:positionV>
            <wp:extent cx="914400" cy="657860"/>
            <wp:effectExtent l="0" t="0" r="0" b="0"/>
            <wp:wrapNone/>
            <wp:docPr id="2" name="Picture 2" descr="mdol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l_gree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51C" w:rsidRPr="00FA7E3E">
        <w:t>The Maine Department of Labor provides equal opportunity in employment and programs.</w:t>
      </w:r>
      <w:r>
        <w:br/>
      </w:r>
      <w:r w:rsidR="0019351C" w:rsidRPr="00FA7E3E">
        <w:t>Auxiliary aids and services are available to individuals with disabilities upon request</w:t>
      </w:r>
    </w:p>
    <w:sectPr w:rsidR="00E155DC" w:rsidRPr="00301B83" w:rsidSect="009A61E1">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008" w:right="1008" w:bottom="720"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2C" w:rsidRDefault="006B7D2C">
      <w:r>
        <w:separator/>
      </w:r>
    </w:p>
  </w:endnote>
  <w:endnote w:type="continuationSeparator" w:id="0">
    <w:p w:rsidR="006B7D2C" w:rsidRDefault="006B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 Pro">
    <w:altName w:val="Times New Roman"/>
    <w:panose1 w:val="02040503050201020203"/>
    <w:charset w:val="00"/>
    <w:family w:val="roman"/>
    <w:notTrueType/>
    <w:pitch w:val="variable"/>
    <w:sig w:usb0="E00002AF" w:usb1="5000E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D5F" w:rsidRDefault="001B4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45893"/>
      <w:docPartObj>
        <w:docPartGallery w:val="Page Numbers (Bottom of Page)"/>
        <w:docPartUnique/>
      </w:docPartObj>
    </w:sdtPr>
    <w:sdtEndPr>
      <w:rPr>
        <w:noProof/>
      </w:rPr>
    </w:sdtEndPr>
    <w:sdtContent>
      <w:p w:rsidR="0019351C" w:rsidRDefault="0019351C">
        <w:pPr>
          <w:pStyle w:val="Footer"/>
          <w:jc w:val="center"/>
        </w:pPr>
        <w:r>
          <w:fldChar w:fldCharType="begin"/>
        </w:r>
        <w:r>
          <w:instrText xml:space="preserve"> PAGE   \* MERGEFORMAT </w:instrText>
        </w:r>
        <w:r>
          <w:fldChar w:fldCharType="separate"/>
        </w:r>
        <w:r w:rsidR="001B4D5F">
          <w:rPr>
            <w:noProof/>
          </w:rPr>
          <w:t>13</w:t>
        </w:r>
        <w:r>
          <w:rPr>
            <w:noProof/>
          </w:rPr>
          <w:fldChar w:fldCharType="end"/>
        </w:r>
      </w:p>
    </w:sdtContent>
  </w:sdt>
  <w:p w:rsidR="00365FD4" w:rsidRPr="0019351C" w:rsidRDefault="00365FD4" w:rsidP="0019351C">
    <w:pPr>
      <w:pStyle w:val="Footer"/>
      <w:rPr>
        <w:rStyle w:val="PageNumber"/>
        <w:rFonts w:ascii="Tw Cen MT Condensed" w:hAnsi="Tw Cen MT Condensed"/>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D5F" w:rsidRDefault="001B4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2C" w:rsidRDefault="006B7D2C">
      <w:r>
        <w:separator/>
      </w:r>
    </w:p>
  </w:footnote>
  <w:footnote w:type="continuationSeparator" w:id="0">
    <w:p w:rsidR="006B7D2C" w:rsidRDefault="006B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D5F" w:rsidRDefault="001B4D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D5F" w:rsidRDefault="001B4D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56" w:rsidRDefault="00455056">
    <w:pPr>
      <w:pStyle w:val="Header"/>
    </w:pPr>
    <w:bookmarkStart w:id="0" w:name="_GoBack"/>
    <w:bookmarkEnd w:id="0"/>
    <w:r>
      <w:rPr>
        <w:noProof/>
      </w:rPr>
      <w:drawing>
        <wp:anchor distT="0" distB="0" distL="114300" distR="114300" simplePos="0" relativeHeight="251660288" behindDoc="1" locked="0" layoutInCell="1" allowOverlap="1" wp14:anchorId="7E994272" wp14:editId="5896F850">
          <wp:simplePos x="0" y="0"/>
          <wp:positionH relativeFrom="column">
            <wp:posOffset>2308225</wp:posOffset>
          </wp:positionH>
          <wp:positionV relativeFrom="paragraph">
            <wp:posOffset>140298</wp:posOffset>
          </wp:positionV>
          <wp:extent cx="1785770" cy="1300833"/>
          <wp:effectExtent l="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l_gr Labor Standa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770" cy="1300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31C"/>
    <w:multiLevelType w:val="hybridMultilevel"/>
    <w:tmpl w:val="B4022E0A"/>
    <w:lvl w:ilvl="0" w:tplc="5C86E6BE">
      <w:start w:val="2"/>
      <w:numFmt w:val="bullet"/>
      <w:lvlText w:val="-"/>
      <w:lvlJc w:val="left"/>
      <w:pPr>
        <w:ind w:left="720" w:hanging="360"/>
      </w:pPr>
      <w:rPr>
        <w:rFonts w:ascii="Minion Pro" w:eastAsia="Times New Roman" w:hAnsi="Minion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074EB"/>
    <w:multiLevelType w:val="multilevel"/>
    <w:tmpl w:val="BCC43028"/>
    <w:numStyleLink w:val="StyleBulleted"/>
  </w:abstractNum>
  <w:abstractNum w:abstractNumId="2">
    <w:nsid w:val="0D6A44D1"/>
    <w:multiLevelType w:val="multilevel"/>
    <w:tmpl w:val="BCC43028"/>
    <w:numStyleLink w:val="StyleBulleted"/>
  </w:abstractNum>
  <w:abstractNum w:abstractNumId="3">
    <w:nsid w:val="15CA0CD6"/>
    <w:multiLevelType w:val="multilevel"/>
    <w:tmpl w:val="BCC43028"/>
    <w:numStyleLink w:val="StyleBulleted"/>
  </w:abstractNum>
  <w:abstractNum w:abstractNumId="4">
    <w:nsid w:val="197F6183"/>
    <w:multiLevelType w:val="multilevel"/>
    <w:tmpl w:val="BCC43028"/>
    <w:numStyleLink w:val="StyleBulleted"/>
  </w:abstractNum>
  <w:abstractNum w:abstractNumId="5">
    <w:nsid w:val="1B43033E"/>
    <w:multiLevelType w:val="multilevel"/>
    <w:tmpl w:val="BCC43028"/>
    <w:numStyleLink w:val="StyleBulleted"/>
  </w:abstractNum>
  <w:abstractNum w:abstractNumId="6">
    <w:nsid w:val="24300FD2"/>
    <w:multiLevelType w:val="multilevel"/>
    <w:tmpl w:val="BCC43028"/>
    <w:numStyleLink w:val="StyleBulleted"/>
  </w:abstractNum>
  <w:abstractNum w:abstractNumId="7">
    <w:nsid w:val="2A7C0DF6"/>
    <w:multiLevelType w:val="multilevel"/>
    <w:tmpl w:val="BCC43028"/>
    <w:numStyleLink w:val="StyleBulleted"/>
  </w:abstractNum>
  <w:abstractNum w:abstractNumId="8">
    <w:nsid w:val="2B0E7A82"/>
    <w:multiLevelType w:val="multilevel"/>
    <w:tmpl w:val="BCC43028"/>
    <w:numStyleLink w:val="StyleBulleted"/>
  </w:abstractNum>
  <w:abstractNum w:abstractNumId="9">
    <w:nsid w:val="34B36301"/>
    <w:multiLevelType w:val="multilevel"/>
    <w:tmpl w:val="BCC43028"/>
    <w:numStyleLink w:val="StyleBulleted"/>
  </w:abstractNum>
  <w:abstractNum w:abstractNumId="10">
    <w:nsid w:val="439F5E86"/>
    <w:multiLevelType w:val="multilevel"/>
    <w:tmpl w:val="BCC43028"/>
    <w:numStyleLink w:val="StyleBulleted"/>
  </w:abstractNum>
  <w:abstractNum w:abstractNumId="11">
    <w:nsid w:val="5C83513C"/>
    <w:multiLevelType w:val="multilevel"/>
    <w:tmpl w:val="BCC43028"/>
    <w:styleLink w:val="StyleBulleted"/>
    <w:lvl w:ilvl="0">
      <w:start w:val="1"/>
      <w:numFmt w:val="bullet"/>
      <w:lvlText w:val=""/>
      <w:lvlJc w:val="left"/>
      <w:pPr>
        <w:tabs>
          <w:tab w:val="num" w:pos="864"/>
        </w:tabs>
        <w:ind w:left="1224"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3"/>
  </w:num>
  <w:num w:numId="6">
    <w:abstractNumId w:val="8"/>
  </w:num>
  <w:num w:numId="7">
    <w:abstractNumId w:val="5"/>
  </w:num>
  <w:num w:numId="8">
    <w:abstractNumId w:val="4"/>
  </w:num>
  <w:num w:numId="9">
    <w:abstractNumId w:val="6"/>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CD"/>
    <w:rsid w:val="000023F4"/>
    <w:rsid w:val="0000255A"/>
    <w:rsid w:val="000050C1"/>
    <w:rsid w:val="000061F3"/>
    <w:rsid w:val="00006822"/>
    <w:rsid w:val="000070ED"/>
    <w:rsid w:val="000107CF"/>
    <w:rsid w:val="00011436"/>
    <w:rsid w:val="000117DB"/>
    <w:rsid w:val="000131A6"/>
    <w:rsid w:val="000141D1"/>
    <w:rsid w:val="00014B51"/>
    <w:rsid w:val="00014BF6"/>
    <w:rsid w:val="00016CEE"/>
    <w:rsid w:val="00017E18"/>
    <w:rsid w:val="0002132C"/>
    <w:rsid w:val="00021BFC"/>
    <w:rsid w:val="000245A8"/>
    <w:rsid w:val="000252BE"/>
    <w:rsid w:val="00032F40"/>
    <w:rsid w:val="000334D7"/>
    <w:rsid w:val="00035A5F"/>
    <w:rsid w:val="0004117D"/>
    <w:rsid w:val="00042C5E"/>
    <w:rsid w:val="000438D7"/>
    <w:rsid w:val="000441A5"/>
    <w:rsid w:val="00045F96"/>
    <w:rsid w:val="000501AE"/>
    <w:rsid w:val="00050642"/>
    <w:rsid w:val="000514B5"/>
    <w:rsid w:val="000515C7"/>
    <w:rsid w:val="000518ED"/>
    <w:rsid w:val="0005453C"/>
    <w:rsid w:val="00054E0F"/>
    <w:rsid w:val="00054EDB"/>
    <w:rsid w:val="000574CD"/>
    <w:rsid w:val="00063054"/>
    <w:rsid w:val="00067797"/>
    <w:rsid w:val="000678AC"/>
    <w:rsid w:val="00071892"/>
    <w:rsid w:val="00071A64"/>
    <w:rsid w:val="000720E0"/>
    <w:rsid w:val="000732F5"/>
    <w:rsid w:val="00073DCA"/>
    <w:rsid w:val="00074285"/>
    <w:rsid w:val="0007525A"/>
    <w:rsid w:val="00075609"/>
    <w:rsid w:val="00075BA4"/>
    <w:rsid w:val="000760CF"/>
    <w:rsid w:val="000807C3"/>
    <w:rsid w:val="00082087"/>
    <w:rsid w:val="000831EB"/>
    <w:rsid w:val="000836DB"/>
    <w:rsid w:val="000843F1"/>
    <w:rsid w:val="00084FBE"/>
    <w:rsid w:val="00087EB7"/>
    <w:rsid w:val="00096BC3"/>
    <w:rsid w:val="00096E0D"/>
    <w:rsid w:val="000A0041"/>
    <w:rsid w:val="000A1AAD"/>
    <w:rsid w:val="000A54DA"/>
    <w:rsid w:val="000A6AF8"/>
    <w:rsid w:val="000B0359"/>
    <w:rsid w:val="000B051A"/>
    <w:rsid w:val="000B100C"/>
    <w:rsid w:val="000B28A8"/>
    <w:rsid w:val="000B2AC8"/>
    <w:rsid w:val="000B73A2"/>
    <w:rsid w:val="000C2361"/>
    <w:rsid w:val="000C3183"/>
    <w:rsid w:val="000C50E6"/>
    <w:rsid w:val="000C7BD4"/>
    <w:rsid w:val="000D0AE4"/>
    <w:rsid w:val="000D3340"/>
    <w:rsid w:val="000D54D4"/>
    <w:rsid w:val="000D66C2"/>
    <w:rsid w:val="000D6CFA"/>
    <w:rsid w:val="000E2667"/>
    <w:rsid w:val="000E2ABC"/>
    <w:rsid w:val="000E3BCE"/>
    <w:rsid w:val="000E504E"/>
    <w:rsid w:val="000E6D42"/>
    <w:rsid w:val="000F1040"/>
    <w:rsid w:val="000F292A"/>
    <w:rsid w:val="000F29E9"/>
    <w:rsid w:val="000F42E6"/>
    <w:rsid w:val="0010145F"/>
    <w:rsid w:val="00101CD8"/>
    <w:rsid w:val="00104227"/>
    <w:rsid w:val="00104716"/>
    <w:rsid w:val="00104938"/>
    <w:rsid w:val="00110576"/>
    <w:rsid w:val="00110B42"/>
    <w:rsid w:val="00113432"/>
    <w:rsid w:val="001151B5"/>
    <w:rsid w:val="00115FE7"/>
    <w:rsid w:val="00120F3A"/>
    <w:rsid w:val="0012139B"/>
    <w:rsid w:val="00126338"/>
    <w:rsid w:val="00126E97"/>
    <w:rsid w:val="001303CC"/>
    <w:rsid w:val="00131CFB"/>
    <w:rsid w:val="001323DD"/>
    <w:rsid w:val="001323F8"/>
    <w:rsid w:val="001332A5"/>
    <w:rsid w:val="0014083D"/>
    <w:rsid w:val="00141D88"/>
    <w:rsid w:val="001434B8"/>
    <w:rsid w:val="00144873"/>
    <w:rsid w:val="001467F2"/>
    <w:rsid w:val="0014729B"/>
    <w:rsid w:val="00150F97"/>
    <w:rsid w:val="00151084"/>
    <w:rsid w:val="001526E3"/>
    <w:rsid w:val="001536DF"/>
    <w:rsid w:val="00153C10"/>
    <w:rsid w:val="00154554"/>
    <w:rsid w:val="001569A2"/>
    <w:rsid w:val="00156A95"/>
    <w:rsid w:val="0016124E"/>
    <w:rsid w:val="00161A1B"/>
    <w:rsid w:val="00162FB9"/>
    <w:rsid w:val="00163355"/>
    <w:rsid w:val="00164890"/>
    <w:rsid w:val="00165AE8"/>
    <w:rsid w:val="00165B5D"/>
    <w:rsid w:val="001678AE"/>
    <w:rsid w:val="00172E54"/>
    <w:rsid w:val="00175B4A"/>
    <w:rsid w:val="00175B85"/>
    <w:rsid w:val="001770AC"/>
    <w:rsid w:val="00180688"/>
    <w:rsid w:val="00182509"/>
    <w:rsid w:val="00183845"/>
    <w:rsid w:val="00192176"/>
    <w:rsid w:val="00192264"/>
    <w:rsid w:val="00192DF1"/>
    <w:rsid w:val="0019351C"/>
    <w:rsid w:val="0019358C"/>
    <w:rsid w:val="001944A9"/>
    <w:rsid w:val="001947A1"/>
    <w:rsid w:val="001958D2"/>
    <w:rsid w:val="00195AEB"/>
    <w:rsid w:val="001A06C5"/>
    <w:rsid w:val="001A0F82"/>
    <w:rsid w:val="001A245C"/>
    <w:rsid w:val="001A4121"/>
    <w:rsid w:val="001A4B76"/>
    <w:rsid w:val="001A7A85"/>
    <w:rsid w:val="001B2FE4"/>
    <w:rsid w:val="001B3C3F"/>
    <w:rsid w:val="001B4304"/>
    <w:rsid w:val="001B4D5F"/>
    <w:rsid w:val="001B7EEA"/>
    <w:rsid w:val="001C360D"/>
    <w:rsid w:val="001C4E14"/>
    <w:rsid w:val="001C71CE"/>
    <w:rsid w:val="001C74D0"/>
    <w:rsid w:val="001C755D"/>
    <w:rsid w:val="001D33C5"/>
    <w:rsid w:val="001D398B"/>
    <w:rsid w:val="001D4A85"/>
    <w:rsid w:val="001D4ADD"/>
    <w:rsid w:val="001D6C4A"/>
    <w:rsid w:val="001D6D99"/>
    <w:rsid w:val="001E15F8"/>
    <w:rsid w:val="001E1A5E"/>
    <w:rsid w:val="001E2F0A"/>
    <w:rsid w:val="001E7439"/>
    <w:rsid w:val="001E75CF"/>
    <w:rsid w:val="001E7660"/>
    <w:rsid w:val="001F137E"/>
    <w:rsid w:val="001F2B58"/>
    <w:rsid w:val="001F3E43"/>
    <w:rsid w:val="001F58AF"/>
    <w:rsid w:val="001F5CF8"/>
    <w:rsid w:val="00200BE0"/>
    <w:rsid w:val="00203214"/>
    <w:rsid w:val="00205C8A"/>
    <w:rsid w:val="002075F4"/>
    <w:rsid w:val="00210C01"/>
    <w:rsid w:val="00215FE6"/>
    <w:rsid w:val="00216F83"/>
    <w:rsid w:val="00220A5D"/>
    <w:rsid w:val="00222088"/>
    <w:rsid w:val="002221E8"/>
    <w:rsid w:val="00222FE8"/>
    <w:rsid w:val="0022335F"/>
    <w:rsid w:val="00223915"/>
    <w:rsid w:val="00224086"/>
    <w:rsid w:val="00227684"/>
    <w:rsid w:val="00230D10"/>
    <w:rsid w:val="00230E05"/>
    <w:rsid w:val="002313DF"/>
    <w:rsid w:val="00232598"/>
    <w:rsid w:val="00232874"/>
    <w:rsid w:val="0023430D"/>
    <w:rsid w:val="00237FD0"/>
    <w:rsid w:val="002411BC"/>
    <w:rsid w:val="002429E2"/>
    <w:rsid w:val="00242F6B"/>
    <w:rsid w:val="00244AAE"/>
    <w:rsid w:val="00246A0D"/>
    <w:rsid w:val="00247D00"/>
    <w:rsid w:val="002509D5"/>
    <w:rsid w:val="00251734"/>
    <w:rsid w:val="0025281A"/>
    <w:rsid w:val="00256082"/>
    <w:rsid w:val="002568B8"/>
    <w:rsid w:val="00257605"/>
    <w:rsid w:val="00260778"/>
    <w:rsid w:val="00262C10"/>
    <w:rsid w:val="00265390"/>
    <w:rsid w:val="0027053A"/>
    <w:rsid w:val="00270B1F"/>
    <w:rsid w:val="002710D6"/>
    <w:rsid w:val="00280C0D"/>
    <w:rsid w:val="00281C83"/>
    <w:rsid w:val="00281EE4"/>
    <w:rsid w:val="002843FE"/>
    <w:rsid w:val="0028644F"/>
    <w:rsid w:val="002870E2"/>
    <w:rsid w:val="002903DF"/>
    <w:rsid w:val="0029227E"/>
    <w:rsid w:val="00292C96"/>
    <w:rsid w:val="00293C9D"/>
    <w:rsid w:val="002940FB"/>
    <w:rsid w:val="0029421C"/>
    <w:rsid w:val="002958B7"/>
    <w:rsid w:val="0029755E"/>
    <w:rsid w:val="002A1991"/>
    <w:rsid w:val="002A1C30"/>
    <w:rsid w:val="002A1C84"/>
    <w:rsid w:val="002A25C8"/>
    <w:rsid w:val="002A3171"/>
    <w:rsid w:val="002A4D72"/>
    <w:rsid w:val="002B12BB"/>
    <w:rsid w:val="002B7466"/>
    <w:rsid w:val="002B7D77"/>
    <w:rsid w:val="002C1766"/>
    <w:rsid w:val="002C29E5"/>
    <w:rsid w:val="002C30ED"/>
    <w:rsid w:val="002C3B6A"/>
    <w:rsid w:val="002C3EA9"/>
    <w:rsid w:val="002C3F4B"/>
    <w:rsid w:val="002C42EC"/>
    <w:rsid w:val="002C454D"/>
    <w:rsid w:val="002C5FAF"/>
    <w:rsid w:val="002C62CF"/>
    <w:rsid w:val="002C6A11"/>
    <w:rsid w:val="002C6FE5"/>
    <w:rsid w:val="002D0587"/>
    <w:rsid w:val="002D1116"/>
    <w:rsid w:val="002D3449"/>
    <w:rsid w:val="002D548D"/>
    <w:rsid w:val="002D5F99"/>
    <w:rsid w:val="002D6B97"/>
    <w:rsid w:val="002D7072"/>
    <w:rsid w:val="002D73DF"/>
    <w:rsid w:val="002E0594"/>
    <w:rsid w:val="002E340A"/>
    <w:rsid w:val="002E48C0"/>
    <w:rsid w:val="002E4B7E"/>
    <w:rsid w:val="002E56A3"/>
    <w:rsid w:val="002E6AFF"/>
    <w:rsid w:val="002E7668"/>
    <w:rsid w:val="002F0372"/>
    <w:rsid w:val="002F07B4"/>
    <w:rsid w:val="002F15C6"/>
    <w:rsid w:val="002F169F"/>
    <w:rsid w:val="002F2291"/>
    <w:rsid w:val="002F44CB"/>
    <w:rsid w:val="002F63B0"/>
    <w:rsid w:val="002F7C20"/>
    <w:rsid w:val="00301B83"/>
    <w:rsid w:val="003031D6"/>
    <w:rsid w:val="00305542"/>
    <w:rsid w:val="00311869"/>
    <w:rsid w:val="00314F7E"/>
    <w:rsid w:val="003150C4"/>
    <w:rsid w:val="0031610F"/>
    <w:rsid w:val="003161FE"/>
    <w:rsid w:val="00320A5F"/>
    <w:rsid w:val="00322F02"/>
    <w:rsid w:val="00323332"/>
    <w:rsid w:val="00323400"/>
    <w:rsid w:val="00323541"/>
    <w:rsid w:val="003277BC"/>
    <w:rsid w:val="003311AA"/>
    <w:rsid w:val="00333201"/>
    <w:rsid w:val="00334299"/>
    <w:rsid w:val="00334E5C"/>
    <w:rsid w:val="00336E60"/>
    <w:rsid w:val="00352B95"/>
    <w:rsid w:val="003573DE"/>
    <w:rsid w:val="003604C1"/>
    <w:rsid w:val="00361386"/>
    <w:rsid w:val="00363296"/>
    <w:rsid w:val="0036339F"/>
    <w:rsid w:val="00363CAB"/>
    <w:rsid w:val="0036451D"/>
    <w:rsid w:val="00364A44"/>
    <w:rsid w:val="00365F54"/>
    <w:rsid w:val="00365FD4"/>
    <w:rsid w:val="003734A2"/>
    <w:rsid w:val="0038011A"/>
    <w:rsid w:val="00384EB1"/>
    <w:rsid w:val="003861D1"/>
    <w:rsid w:val="00387E33"/>
    <w:rsid w:val="00391BD5"/>
    <w:rsid w:val="003924F9"/>
    <w:rsid w:val="00396D73"/>
    <w:rsid w:val="003A0771"/>
    <w:rsid w:val="003A095A"/>
    <w:rsid w:val="003A0EB3"/>
    <w:rsid w:val="003A13B3"/>
    <w:rsid w:val="003A330B"/>
    <w:rsid w:val="003A5C11"/>
    <w:rsid w:val="003A7082"/>
    <w:rsid w:val="003A733E"/>
    <w:rsid w:val="003B02CF"/>
    <w:rsid w:val="003B3599"/>
    <w:rsid w:val="003B4E3F"/>
    <w:rsid w:val="003B6DC7"/>
    <w:rsid w:val="003C1657"/>
    <w:rsid w:val="003C185A"/>
    <w:rsid w:val="003C2E3C"/>
    <w:rsid w:val="003C3109"/>
    <w:rsid w:val="003C4421"/>
    <w:rsid w:val="003C76E8"/>
    <w:rsid w:val="003D2B6D"/>
    <w:rsid w:val="003D4886"/>
    <w:rsid w:val="003D6182"/>
    <w:rsid w:val="003D6BAC"/>
    <w:rsid w:val="003E0BD4"/>
    <w:rsid w:val="003E0C37"/>
    <w:rsid w:val="003E1301"/>
    <w:rsid w:val="003E27BF"/>
    <w:rsid w:val="003E5974"/>
    <w:rsid w:val="003E5C73"/>
    <w:rsid w:val="003E602D"/>
    <w:rsid w:val="003E6B00"/>
    <w:rsid w:val="003E71D4"/>
    <w:rsid w:val="003F09C1"/>
    <w:rsid w:val="003F5801"/>
    <w:rsid w:val="003F5A6B"/>
    <w:rsid w:val="003F653F"/>
    <w:rsid w:val="003F722E"/>
    <w:rsid w:val="003F7CCC"/>
    <w:rsid w:val="003F7CDF"/>
    <w:rsid w:val="004000B3"/>
    <w:rsid w:val="004054CC"/>
    <w:rsid w:val="00410B82"/>
    <w:rsid w:val="00411666"/>
    <w:rsid w:val="00411DDB"/>
    <w:rsid w:val="00412BA3"/>
    <w:rsid w:val="00413303"/>
    <w:rsid w:val="00415583"/>
    <w:rsid w:val="00417FD1"/>
    <w:rsid w:val="00421067"/>
    <w:rsid w:val="00423040"/>
    <w:rsid w:val="0043132E"/>
    <w:rsid w:val="004344D7"/>
    <w:rsid w:val="00436A4C"/>
    <w:rsid w:val="00437055"/>
    <w:rsid w:val="0043737A"/>
    <w:rsid w:val="00437D1C"/>
    <w:rsid w:val="004400CC"/>
    <w:rsid w:val="004422D2"/>
    <w:rsid w:val="00442A00"/>
    <w:rsid w:val="00442D72"/>
    <w:rsid w:val="00442E19"/>
    <w:rsid w:val="00444E11"/>
    <w:rsid w:val="0044654D"/>
    <w:rsid w:val="00446DEC"/>
    <w:rsid w:val="00447578"/>
    <w:rsid w:val="00452A38"/>
    <w:rsid w:val="00453227"/>
    <w:rsid w:val="00455056"/>
    <w:rsid w:val="00457E51"/>
    <w:rsid w:val="00460D1A"/>
    <w:rsid w:val="00462701"/>
    <w:rsid w:val="0046281B"/>
    <w:rsid w:val="0046306B"/>
    <w:rsid w:val="00465A23"/>
    <w:rsid w:val="004665D2"/>
    <w:rsid w:val="004671C0"/>
    <w:rsid w:val="004721E0"/>
    <w:rsid w:val="00476FF1"/>
    <w:rsid w:val="00480B64"/>
    <w:rsid w:val="004830C4"/>
    <w:rsid w:val="0048432B"/>
    <w:rsid w:val="0048442F"/>
    <w:rsid w:val="00486335"/>
    <w:rsid w:val="004863A0"/>
    <w:rsid w:val="00490032"/>
    <w:rsid w:val="00491419"/>
    <w:rsid w:val="00491A62"/>
    <w:rsid w:val="0049427E"/>
    <w:rsid w:val="004950BD"/>
    <w:rsid w:val="00495434"/>
    <w:rsid w:val="004959CB"/>
    <w:rsid w:val="0049670A"/>
    <w:rsid w:val="004971AE"/>
    <w:rsid w:val="004A12D3"/>
    <w:rsid w:val="004A14F7"/>
    <w:rsid w:val="004A152B"/>
    <w:rsid w:val="004A3D2A"/>
    <w:rsid w:val="004A40C0"/>
    <w:rsid w:val="004A42D6"/>
    <w:rsid w:val="004A523E"/>
    <w:rsid w:val="004A74FE"/>
    <w:rsid w:val="004B1C4F"/>
    <w:rsid w:val="004B2973"/>
    <w:rsid w:val="004B46B0"/>
    <w:rsid w:val="004B5A20"/>
    <w:rsid w:val="004B7C0E"/>
    <w:rsid w:val="004C0033"/>
    <w:rsid w:val="004C38C0"/>
    <w:rsid w:val="004C3AB1"/>
    <w:rsid w:val="004C3ADE"/>
    <w:rsid w:val="004C68E0"/>
    <w:rsid w:val="004D11CF"/>
    <w:rsid w:val="004D2902"/>
    <w:rsid w:val="004D2C28"/>
    <w:rsid w:val="004D2FA5"/>
    <w:rsid w:val="004D474E"/>
    <w:rsid w:val="004D4B6C"/>
    <w:rsid w:val="004D4FFA"/>
    <w:rsid w:val="004D60C1"/>
    <w:rsid w:val="004D7E84"/>
    <w:rsid w:val="004E0247"/>
    <w:rsid w:val="004E2CE3"/>
    <w:rsid w:val="004E43C1"/>
    <w:rsid w:val="004E784D"/>
    <w:rsid w:val="004F1E23"/>
    <w:rsid w:val="004F3770"/>
    <w:rsid w:val="004F4DBF"/>
    <w:rsid w:val="004F5673"/>
    <w:rsid w:val="004F7004"/>
    <w:rsid w:val="004F77F9"/>
    <w:rsid w:val="005004A7"/>
    <w:rsid w:val="0050147F"/>
    <w:rsid w:val="00502135"/>
    <w:rsid w:val="005021E6"/>
    <w:rsid w:val="00502294"/>
    <w:rsid w:val="00503722"/>
    <w:rsid w:val="00506E8A"/>
    <w:rsid w:val="00511B9F"/>
    <w:rsid w:val="00512F3D"/>
    <w:rsid w:val="0051411E"/>
    <w:rsid w:val="0051572E"/>
    <w:rsid w:val="00516134"/>
    <w:rsid w:val="0051688B"/>
    <w:rsid w:val="00520A36"/>
    <w:rsid w:val="00523934"/>
    <w:rsid w:val="00524C49"/>
    <w:rsid w:val="00525BBB"/>
    <w:rsid w:val="005307AC"/>
    <w:rsid w:val="0053142F"/>
    <w:rsid w:val="005361BF"/>
    <w:rsid w:val="00536A7B"/>
    <w:rsid w:val="00541456"/>
    <w:rsid w:val="00543FFB"/>
    <w:rsid w:val="00544647"/>
    <w:rsid w:val="005452F1"/>
    <w:rsid w:val="00545C85"/>
    <w:rsid w:val="005469FD"/>
    <w:rsid w:val="00554724"/>
    <w:rsid w:val="00556593"/>
    <w:rsid w:val="005569E6"/>
    <w:rsid w:val="00556DBC"/>
    <w:rsid w:val="0055760D"/>
    <w:rsid w:val="005604EA"/>
    <w:rsid w:val="0056111C"/>
    <w:rsid w:val="00561DFB"/>
    <w:rsid w:val="005630EB"/>
    <w:rsid w:val="00563AEA"/>
    <w:rsid w:val="0056500B"/>
    <w:rsid w:val="00565C5A"/>
    <w:rsid w:val="00565E15"/>
    <w:rsid w:val="005679B6"/>
    <w:rsid w:val="00570DC0"/>
    <w:rsid w:val="00576D40"/>
    <w:rsid w:val="005804C9"/>
    <w:rsid w:val="005829AC"/>
    <w:rsid w:val="00583EFA"/>
    <w:rsid w:val="00586340"/>
    <w:rsid w:val="0059015D"/>
    <w:rsid w:val="00593386"/>
    <w:rsid w:val="0059342B"/>
    <w:rsid w:val="0059674C"/>
    <w:rsid w:val="005A3C4F"/>
    <w:rsid w:val="005A4724"/>
    <w:rsid w:val="005A474F"/>
    <w:rsid w:val="005A576C"/>
    <w:rsid w:val="005A688C"/>
    <w:rsid w:val="005B1E96"/>
    <w:rsid w:val="005B257E"/>
    <w:rsid w:val="005B2CF9"/>
    <w:rsid w:val="005B2FFB"/>
    <w:rsid w:val="005B64E6"/>
    <w:rsid w:val="005B69B2"/>
    <w:rsid w:val="005C2AFD"/>
    <w:rsid w:val="005C411E"/>
    <w:rsid w:val="005D0A50"/>
    <w:rsid w:val="005D18D7"/>
    <w:rsid w:val="005D2AA8"/>
    <w:rsid w:val="005D382B"/>
    <w:rsid w:val="005D4B94"/>
    <w:rsid w:val="005D62DC"/>
    <w:rsid w:val="005E06B0"/>
    <w:rsid w:val="005E2067"/>
    <w:rsid w:val="005E2DF7"/>
    <w:rsid w:val="005E4860"/>
    <w:rsid w:val="005E4CBC"/>
    <w:rsid w:val="005F18EA"/>
    <w:rsid w:val="005F1CB0"/>
    <w:rsid w:val="005F248C"/>
    <w:rsid w:val="005F3A0B"/>
    <w:rsid w:val="00601C56"/>
    <w:rsid w:val="0060276A"/>
    <w:rsid w:val="0060441C"/>
    <w:rsid w:val="0060489D"/>
    <w:rsid w:val="0060783F"/>
    <w:rsid w:val="00607F3F"/>
    <w:rsid w:val="00620E21"/>
    <w:rsid w:val="0062298F"/>
    <w:rsid w:val="00626294"/>
    <w:rsid w:val="00626EEE"/>
    <w:rsid w:val="00635092"/>
    <w:rsid w:val="0063688A"/>
    <w:rsid w:val="00641478"/>
    <w:rsid w:val="006445A5"/>
    <w:rsid w:val="00644826"/>
    <w:rsid w:val="00644D51"/>
    <w:rsid w:val="00645518"/>
    <w:rsid w:val="006504B1"/>
    <w:rsid w:val="00652029"/>
    <w:rsid w:val="00653C19"/>
    <w:rsid w:val="00654024"/>
    <w:rsid w:val="00654D1A"/>
    <w:rsid w:val="006562EA"/>
    <w:rsid w:val="00656378"/>
    <w:rsid w:val="006564BD"/>
    <w:rsid w:val="00656993"/>
    <w:rsid w:val="006574B9"/>
    <w:rsid w:val="006608B4"/>
    <w:rsid w:val="00662065"/>
    <w:rsid w:val="00662333"/>
    <w:rsid w:val="006669D9"/>
    <w:rsid w:val="00683D3C"/>
    <w:rsid w:val="006844DD"/>
    <w:rsid w:val="006864FE"/>
    <w:rsid w:val="0069101A"/>
    <w:rsid w:val="00691FE5"/>
    <w:rsid w:val="006926C1"/>
    <w:rsid w:val="0069378E"/>
    <w:rsid w:val="006943D6"/>
    <w:rsid w:val="00696754"/>
    <w:rsid w:val="00696AF9"/>
    <w:rsid w:val="006A0780"/>
    <w:rsid w:val="006A2112"/>
    <w:rsid w:val="006B133B"/>
    <w:rsid w:val="006B169B"/>
    <w:rsid w:val="006B2989"/>
    <w:rsid w:val="006B4D58"/>
    <w:rsid w:val="006B5C09"/>
    <w:rsid w:val="006B7843"/>
    <w:rsid w:val="006B7D2C"/>
    <w:rsid w:val="006C1D4F"/>
    <w:rsid w:val="006C4D54"/>
    <w:rsid w:val="006C4F73"/>
    <w:rsid w:val="006D0F48"/>
    <w:rsid w:val="006D1E91"/>
    <w:rsid w:val="006D2BEE"/>
    <w:rsid w:val="006D3254"/>
    <w:rsid w:val="006D3A1A"/>
    <w:rsid w:val="006E1544"/>
    <w:rsid w:val="006E1D69"/>
    <w:rsid w:val="006E1DF7"/>
    <w:rsid w:val="006E3A6F"/>
    <w:rsid w:val="006E5B1B"/>
    <w:rsid w:val="006E68F1"/>
    <w:rsid w:val="006F0FB3"/>
    <w:rsid w:val="006F16F1"/>
    <w:rsid w:val="006F22EA"/>
    <w:rsid w:val="006F2469"/>
    <w:rsid w:val="006F4584"/>
    <w:rsid w:val="006F4B81"/>
    <w:rsid w:val="006F69B4"/>
    <w:rsid w:val="00701ADF"/>
    <w:rsid w:val="00703692"/>
    <w:rsid w:val="007047E7"/>
    <w:rsid w:val="00704AE5"/>
    <w:rsid w:val="00705D5C"/>
    <w:rsid w:val="00706C9D"/>
    <w:rsid w:val="00707210"/>
    <w:rsid w:val="00710843"/>
    <w:rsid w:val="00711351"/>
    <w:rsid w:val="00711521"/>
    <w:rsid w:val="007128C9"/>
    <w:rsid w:val="007163B1"/>
    <w:rsid w:val="007166BB"/>
    <w:rsid w:val="00716FBB"/>
    <w:rsid w:val="00720C14"/>
    <w:rsid w:val="00721349"/>
    <w:rsid w:val="007214DA"/>
    <w:rsid w:val="00724247"/>
    <w:rsid w:val="007247A0"/>
    <w:rsid w:val="00725A61"/>
    <w:rsid w:val="00731D9B"/>
    <w:rsid w:val="00736421"/>
    <w:rsid w:val="00736ADC"/>
    <w:rsid w:val="00736C6C"/>
    <w:rsid w:val="00737841"/>
    <w:rsid w:val="00737948"/>
    <w:rsid w:val="007427FA"/>
    <w:rsid w:val="007437FC"/>
    <w:rsid w:val="00743B79"/>
    <w:rsid w:val="00745FBE"/>
    <w:rsid w:val="007475D2"/>
    <w:rsid w:val="00756607"/>
    <w:rsid w:val="0075786C"/>
    <w:rsid w:val="00762950"/>
    <w:rsid w:val="007644C4"/>
    <w:rsid w:val="00765A53"/>
    <w:rsid w:val="00765EF8"/>
    <w:rsid w:val="0076731F"/>
    <w:rsid w:val="00767D30"/>
    <w:rsid w:val="007705A1"/>
    <w:rsid w:val="00772083"/>
    <w:rsid w:val="00772955"/>
    <w:rsid w:val="00775886"/>
    <w:rsid w:val="00775AA8"/>
    <w:rsid w:val="00776BC0"/>
    <w:rsid w:val="00776C8A"/>
    <w:rsid w:val="00777DC9"/>
    <w:rsid w:val="00782B2E"/>
    <w:rsid w:val="007832C9"/>
    <w:rsid w:val="007834FD"/>
    <w:rsid w:val="0078572D"/>
    <w:rsid w:val="00785AEC"/>
    <w:rsid w:val="0078626E"/>
    <w:rsid w:val="0078768A"/>
    <w:rsid w:val="00790C51"/>
    <w:rsid w:val="00795FF0"/>
    <w:rsid w:val="00796E07"/>
    <w:rsid w:val="0079738C"/>
    <w:rsid w:val="00797983"/>
    <w:rsid w:val="00797FC6"/>
    <w:rsid w:val="007A0EEA"/>
    <w:rsid w:val="007A1692"/>
    <w:rsid w:val="007A22A0"/>
    <w:rsid w:val="007A35A0"/>
    <w:rsid w:val="007B1B5B"/>
    <w:rsid w:val="007B3611"/>
    <w:rsid w:val="007B39AC"/>
    <w:rsid w:val="007B4072"/>
    <w:rsid w:val="007B4409"/>
    <w:rsid w:val="007B5E66"/>
    <w:rsid w:val="007C2C70"/>
    <w:rsid w:val="007D18E1"/>
    <w:rsid w:val="007D4381"/>
    <w:rsid w:val="007D4551"/>
    <w:rsid w:val="007D62B8"/>
    <w:rsid w:val="007D7A79"/>
    <w:rsid w:val="007D7DDF"/>
    <w:rsid w:val="007E0A68"/>
    <w:rsid w:val="007E0D78"/>
    <w:rsid w:val="007E16F0"/>
    <w:rsid w:val="007E2A85"/>
    <w:rsid w:val="007E5C99"/>
    <w:rsid w:val="007E5DAC"/>
    <w:rsid w:val="007E7060"/>
    <w:rsid w:val="007E7762"/>
    <w:rsid w:val="007F0FDC"/>
    <w:rsid w:val="007F3490"/>
    <w:rsid w:val="007F34DB"/>
    <w:rsid w:val="007F5234"/>
    <w:rsid w:val="007F5BA9"/>
    <w:rsid w:val="008002BD"/>
    <w:rsid w:val="00800490"/>
    <w:rsid w:val="00802138"/>
    <w:rsid w:val="008034D1"/>
    <w:rsid w:val="00806DE9"/>
    <w:rsid w:val="008078B9"/>
    <w:rsid w:val="00811083"/>
    <w:rsid w:val="00811C22"/>
    <w:rsid w:val="008152DA"/>
    <w:rsid w:val="0081653E"/>
    <w:rsid w:val="00816B7C"/>
    <w:rsid w:val="008249AE"/>
    <w:rsid w:val="00824E88"/>
    <w:rsid w:val="00824F6E"/>
    <w:rsid w:val="00830F62"/>
    <w:rsid w:val="00833C83"/>
    <w:rsid w:val="008375D3"/>
    <w:rsid w:val="00844291"/>
    <w:rsid w:val="008452C9"/>
    <w:rsid w:val="008456EA"/>
    <w:rsid w:val="00845890"/>
    <w:rsid w:val="0085142C"/>
    <w:rsid w:val="0085226A"/>
    <w:rsid w:val="00852295"/>
    <w:rsid w:val="008531BC"/>
    <w:rsid w:val="00853385"/>
    <w:rsid w:val="00854B3A"/>
    <w:rsid w:val="00856CC5"/>
    <w:rsid w:val="00857C7D"/>
    <w:rsid w:val="00861401"/>
    <w:rsid w:val="00867232"/>
    <w:rsid w:val="0086767F"/>
    <w:rsid w:val="00867D08"/>
    <w:rsid w:val="008700B5"/>
    <w:rsid w:val="008702D0"/>
    <w:rsid w:val="00870B44"/>
    <w:rsid w:val="00871D48"/>
    <w:rsid w:val="00872744"/>
    <w:rsid w:val="00872AFA"/>
    <w:rsid w:val="008746CC"/>
    <w:rsid w:val="00875018"/>
    <w:rsid w:val="00875457"/>
    <w:rsid w:val="00876371"/>
    <w:rsid w:val="00876CF3"/>
    <w:rsid w:val="008771A3"/>
    <w:rsid w:val="00877803"/>
    <w:rsid w:val="0088211F"/>
    <w:rsid w:val="00882C16"/>
    <w:rsid w:val="00883560"/>
    <w:rsid w:val="00884830"/>
    <w:rsid w:val="00885CCE"/>
    <w:rsid w:val="00886063"/>
    <w:rsid w:val="0088698C"/>
    <w:rsid w:val="00887D67"/>
    <w:rsid w:val="00891113"/>
    <w:rsid w:val="0089377C"/>
    <w:rsid w:val="008960FA"/>
    <w:rsid w:val="008B2222"/>
    <w:rsid w:val="008B45A7"/>
    <w:rsid w:val="008B5433"/>
    <w:rsid w:val="008B72DA"/>
    <w:rsid w:val="008B7A6C"/>
    <w:rsid w:val="008C17B2"/>
    <w:rsid w:val="008C2055"/>
    <w:rsid w:val="008C28A4"/>
    <w:rsid w:val="008C3A45"/>
    <w:rsid w:val="008C3CFA"/>
    <w:rsid w:val="008C4F06"/>
    <w:rsid w:val="008C5171"/>
    <w:rsid w:val="008C76C8"/>
    <w:rsid w:val="008C7B5A"/>
    <w:rsid w:val="008D0800"/>
    <w:rsid w:val="008D1EE0"/>
    <w:rsid w:val="008D5AD4"/>
    <w:rsid w:val="008D5CE8"/>
    <w:rsid w:val="008E0AAA"/>
    <w:rsid w:val="008E1DFC"/>
    <w:rsid w:val="008E21F3"/>
    <w:rsid w:val="008E32F9"/>
    <w:rsid w:val="008E46FD"/>
    <w:rsid w:val="008E509D"/>
    <w:rsid w:val="008E558B"/>
    <w:rsid w:val="008F1CBA"/>
    <w:rsid w:val="008F2FDE"/>
    <w:rsid w:val="008F3105"/>
    <w:rsid w:val="008F6B37"/>
    <w:rsid w:val="00900342"/>
    <w:rsid w:val="009008CE"/>
    <w:rsid w:val="0090160A"/>
    <w:rsid w:val="00902311"/>
    <w:rsid w:val="0090544B"/>
    <w:rsid w:val="009121BB"/>
    <w:rsid w:val="00912514"/>
    <w:rsid w:val="00920727"/>
    <w:rsid w:val="009236F5"/>
    <w:rsid w:val="0092371C"/>
    <w:rsid w:val="0092529C"/>
    <w:rsid w:val="009268B1"/>
    <w:rsid w:val="00930AE5"/>
    <w:rsid w:val="00931F3E"/>
    <w:rsid w:val="00933091"/>
    <w:rsid w:val="00933AB4"/>
    <w:rsid w:val="00935531"/>
    <w:rsid w:val="00942EAF"/>
    <w:rsid w:val="0094455D"/>
    <w:rsid w:val="00946723"/>
    <w:rsid w:val="00947007"/>
    <w:rsid w:val="0095087B"/>
    <w:rsid w:val="00951816"/>
    <w:rsid w:val="00952E5A"/>
    <w:rsid w:val="00955E27"/>
    <w:rsid w:val="009601DB"/>
    <w:rsid w:val="00961C98"/>
    <w:rsid w:val="009624EF"/>
    <w:rsid w:val="009626AA"/>
    <w:rsid w:val="00963709"/>
    <w:rsid w:val="009646C5"/>
    <w:rsid w:val="00965612"/>
    <w:rsid w:val="009663E4"/>
    <w:rsid w:val="00966547"/>
    <w:rsid w:val="009736B6"/>
    <w:rsid w:val="0097575E"/>
    <w:rsid w:val="00975E2B"/>
    <w:rsid w:val="00976094"/>
    <w:rsid w:val="00984D87"/>
    <w:rsid w:val="009863BE"/>
    <w:rsid w:val="0098641F"/>
    <w:rsid w:val="0098648C"/>
    <w:rsid w:val="009868FB"/>
    <w:rsid w:val="00986CF9"/>
    <w:rsid w:val="00987B3B"/>
    <w:rsid w:val="009927BB"/>
    <w:rsid w:val="00996439"/>
    <w:rsid w:val="00996F4A"/>
    <w:rsid w:val="00997162"/>
    <w:rsid w:val="009A61E1"/>
    <w:rsid w:val="009B120E"/>
    <w:rsid w:val="009B22EF"/>
    <w:rsid w:val="009B29B8"/>
    <w:rsid w:val="009B3AB6"/>
    <w:rsid w:val="009B3ED4"/>
    <w:rsid w:val="009B48A2"/>
    <w:rsid w:val="009B6A73"/>
    <w:rsid w:val="009B70A0"/>
    <w:rsid w:val="009C327A"/>
    <w:rsid w:val="009C366B"/>
    <w:rsid w:val="009C4305"/>
    <w:rsid w:val="009C7A4F"/>
    <w:rsid w:val="009D0B26"/>
    <w:rsid w:val="009D123D"/>
    <w:rsid w:val="009D1E41"/>
    <w:rsid w:val="009D433C"/>
    <w:rsid w:val="009E1221"/>
    <w:rsid w:val="009E172B"/>
    <w:rsid w:val="009E223A"/>
    <w:rsid w:val="009E24E6"/>
    <w:rsid w:val="009E2730"/>
    <w:rsid w:val="009E580D"/>
    <w:rsid w:val="009E6746"/>
    <w:rsid w:val="009E6F36"/>
    <w:rsid w:val="009E75E4"/>
    <w:rsid w:val="009F26E4"/>
    <w:rsid w:val="009F2B38"/>
    <w:rsid w:val="009F3A75"/>
    <w:rsid w:val="009F5993"/>
    <w:rsid w:val="009F63AA"/>
    <w:rsid w:val="00A0184A"/>
    <w:rsid w:val="00A01CB9"/>
    <w:rsid w:val="00A07172"/>
    <w:rsid w:val="00A072A6"/>
    <w:rsid w:val="00A1030E"/>
    <w:rsid w:val="00A11A7F"/>
    <w:rsid w:val="00A11DED"/>
    <w:rsid w:val="00A136EA"/>
    <w:rsid w:val="00A146FF"/>
    <w:rsid w:val="00A162E7"/>
    <w:rsid w:val="00A16399"/>
    <w:rsid w:val="00A164D0"/>
    <w:rsid w:val="00A21703"/>
    <w:rsid w:val="00A2230C"/>
    <w:rsid w:val="00A22827"/>
    <w:rsid w:val="00A23BE3"/>
    <w:rsid w:val="00A25AE7"/>
    <w:rsid w:val="00A27292"/>
    <w:rsid w:val="00A33CB8"/>
    <w:rsid w:val="00A35850"/>
    <w:rsid w:val="00A376FC"/>
    <w:rsid w:val="00A4209E"/>
    <w:rsid w:val="00A43C06"/>
    <w:rsid w:val="00A4551E"/>
    <w:rsid w:val="00A45B2F"/>
    <w:rsid w:val="00A46237"/>
    <w:rsid w:val="00A50988"/>
    <w:rsid w:val="00A51B81"/>
    <w:rsid w:val="00A51E28"/>
    <w:rsid w:val="00A52E6C"/>
    <w:rsid w:val="00A5524A"/>
    <w:rsid w:val="00A553BF"/>
    <w:rsid w:val="00A5687F"/>
    <w:rsid w:val="00A654C5"/>
    <w:rsid w:val="00A67CD4"/>
    <w:rsid w:val="00A70431"/>
    <w:rsid w:val="00A72B5F"/>
    <w:rsid w:val="00A757E1"/>
    <w:rsid w:val="00A759F9"/>
    <w:rsid w:val="00A76F72"/>
    <w:rsid w:val="00A83821"/>
    <w:rsid w:val="00A83CA3"/>
    <w:rsid w:val="00A8481D"/>
    <w:rsid w:val="00A84EFC"/>
    <w:rsid w:val="00A87147"/>
    <w:rsid w:val="00A87DE8"/>
    <w:rsid w:val="00A914E3"/>
    <w:rsid w:val="00A92858"/>
    <w:rsid w:val="00A92887"/>
    <w:rsid w:val="00A946F9"/>
    <w:rsid w:val="00AA0B08"/>
    <w:rsid w:val="00AA247F"/>
    <w:rsid w:val="00AA2B6D"/>
    <w:rsid w:val="00AA4CF0"/>
    <w:rsid w:val="00AA5475"/>
    <w:rsid w:val="00AA6520"/>
    <w:rsid w:val="00AB449E"/>
    <w:rsid w:val="00AB5821"/>
    <w:rsid w:val="00AB5E57"/>
    <w:rsid w:val="00AB66F5"/>
    <w:rsid w:val="00AB6D4D"/>
    <w:rsid w:val="00AC47F8"/>
    <w:rsid w:val="00AC7580"/>
    <w:rsid w:val="00AC7993"/>
    <w:rsid w:val="00AD21C0"/>
    <w:rsid w:val="00AD21EA"/>
    <w:rsid w:val="00AD2917"/>
    <w:rsid w:val="00AD6E12"/>
    <w:rsid w:val="00AE3E85"/>
    <w:rsid w:val="00AE60F7"/>
    <w:rsid w:val="00AE6561"/>
    <w:rsid w:val="00AE6693"/>
    <w:rsid w:val="00AF1F51"/>
    <w:rsid w:val="00AF267F"/>
    <w:rsid w:val="00AF33A6"/>
    <w:rsid w:val="00AF37A9"/>
    <w:rsid w:val="00AF4E1A"/>
    <w:rsid w:val="00AF6FC3"/>
    <w:rsid w:val="00B01BEE"/>
    <w:rsid w:val="00B049BC"/>
    <w:rsid w:val="00B06FBF"/>
    <w:rsid w:val="00B07896"/>
    <w:rsid w:val="00B13083"/>
    <w:rsid w:val="00B16DCA"/>
    <w:rsid w:val="00B17390"/>
    <w:rsid w:val="00B24CD6"/>
    <w:rsid w:val="00B25F9C"/>
    <w:rsid w:val="00B264AB"/>
    <w:rsid w:val="00B30A2C"/>
    <w:rsid w:val="00B3745B"/>
    <w:rsid w:val="00B40875"/>
    <w:rsid w:val="00B41516"/>
    <w:rsid w:val="00B436C8"/>
    <w:rsid w:val="00B46994"/>
    <w:rsid w:val="00B46CCE"/>
    <w:rsid w:val="00B47D56"/>
    <w:rsid w:val="00B51F80"/>
    <w:rsid w:val="00B576AC"/>
    <w:rsid w:val="00B61890"/>
    <w:rsid w:val="00B61946"/>
    <w:rsid w:val="00B61CB5"/>
    <w:rsid w:val="00B639A1"/>
    <w:rsid w:val="00B6416D"/>
    <w:rsid w:val="00B642C0"/>
    <w:rsid w:val="00B66DE3"/>
    <w:rsid w:val="00B67036"/>
    <w:rsid w:val="00B67E73"/>
    <w:rsid w:val="00B708A2"/>
    <w:rsid w:val="00B70C98"/>
    <w:rsid w:val="00B71D04"/>
    <w:rsid w:val="00B72E45"/>
    <w:rsid w:val="00B74B7D"/>
    <w:rsid w:val="00B74BF7"/>
    <w:rsid w:val="00B76E6C"/>
    <w:rsid w:val="00B8115D"/>
    <w:rsid w:val="00B81421"/>
    <w:rsid w:val="00B8187F"/>
    <w:rsid w:val="00B8248B"/>
    <w:rsid w:val="00B848A2"/>
    <w:rsid w:val="00B84AB0"/>
    <w:rsid w:val="00B87C6A"/>
    <w:rsid w:val="00B904CA"/>
    <w:rsid w:val="00B92AF5"/>
    <w:rsid w:val="00B94B6E"/>
    <w:rsid w:val="00B95801"/>
    <w:rsid w:val="00BA0054"/>
    <w:rsid w:val="00BA07FD"/>
    <w:rsid w:val="00BA2141"/>
    <w:rsid w:val="00BA423C"/>
    <w:rsid w:val="00BA68E9"/>
    <w:rsid w:val="00BA709B"/>
    <w:rsid w:val="00BB0FAF"/>
    <w:rsid w:val="00BB29AE"/>
    <w:rsid w:val="00BB44F7"/>
    <w:rsid w:val="00BB58B5"/>
    <w:rsid w:val="00BB725C"/>
    <w:rsid w:val="00BB7D6E"/>
    <w:rsid w:val="00BC003E"/>
    <w:rsid w:val="00BC0602"/>
    <w:rsid w:val="00BC23C4"/>
    <w:rsid w:val="00BC2A49"/>
    <w:rsid w:val="00BC2FE5"/>
    <w:rsid w:val="00BC353F"/>
    <w:rsid w:val="00BC7208"/>
    <w:rsid w:val="00BC77C8"/>
    <w:rsid w:val="00BD02E7"/>
    <w:rsid w:val="00BD196C"/>
    <w:rsid w:val="00BD2A12"/>
    <w:rsid w:val="00BD3405"/>
    <w:rsid w:val="00BD49D2"/>
    <w:rsid w:val="00BD5F15"/>
    <w:rsid w:val="00BD62F9"/>
    <w:rsid w:val="00BD6447"/>
    <w:rsid w:val="00BD6C61"/>
    <w:rsid w:val="00BD7B79"/>
    <w:rsid w:val="00BE15F7"/>
    <w:rsid w:val="00BE2190"/>
    <w:rsid w:val="00BE3D20"/>
    <w:rsid w:val="00BF02D6"/>
    <w:rsid w:val="00BF175B"/>
    <w:rsid w:val="00BF1CBA"/>
    <w:rsid w:val="00BF2C14"/>
    <w:rsid w:val="00BF3530"/>
    <w:rsid w:val="00BF3DDD"/>
    <w:rsid w:val="00BF3F15"/>
    <w:rsid w:val="00BF4DBB"/>
    <w:rsid w:val="00BF4FA2"/>
    <w:rsid w:val="00BF583C"/>
    <w:rsid w:val="00C017FA"/>
    <w:rsid w:val="00C01ED1"/>
    <w:rsid w:val="00C03E76"/>
    <w:rsid w:val="00C0413A"/>
    <w:rsid w:val="00C061BB"/>
    <w:rsid w:val="00C063FA"/>
    <w:rsid w:val="00C069E3"/>
    <w:rsid w:val="00C0709B"/>
    <w:rsid w:val="00C10515"/>
    <w:rsid w:val="00C113FB"/>
    <w:rsid w:val="00C11AE6"/>
    <w:rsid w:val="00C11D12"/>
    <w:rsid w:val="00C134A4"/>
    <w:rsid w:val="00C134EC"/>
    <w:rsid w:val="00C22FCA"/>
    <w:rsid w:val="00C2317E"/>
    <w:rsid w:val="00C240F1"/>
    <w:rsid w:val="00C2414B"/>
    <w:rsid w:val="00C24798"/>
    <w:rsid w:val="00C24F38"/>
    <w:rsid w:val="00C2659A"/>
    <w:rsid w:val="00C26CA8"/>
    <w:rsid w:val="00C32160"/>
    <w:rsid w:val="00C33AC1"/>
    <w:rsid w:val="00C355A9"/>
    <w:rsid w:val="00C355DE"/>
    <w:rsid w:val="00C40241"/>
    <w:rsid w:val="00C413BC"/>
    <w:rsid w:val="00C41889"/>
    <w:rsid w:val="00C42340"/>
    <w:rsid w:val="00C43C80"/>
    <w:rsid w:val="00C459B7"/>
    <w:rsid w:val="00C46385"/>
    <w:rsid w:val="00C46B63"/>
    <w:rsid w:val="00C50600"/>
    <w:rsid w:val="00C51DF1"/>
    <w:rsid w:val="00C51EB3"/>
    <w:rsid w:val="00C5234C"/>
    <w:rsid w:val="00C54018"/>
    <w:rsid w:val="00C567FA"/>
    <w:rsid w:val="00C56935"/>
    <w:rsid w:val="00C5728D"/>
    <w:rsid w:val="00C63AC2"/>
    <w:rsid w:val="00C65BCD"/>
    <w:rsid w:val="00C70BFD"/>
    <w:rsid w:val="00C72DB5"/>
    <w:rsid w:val="00C75FF6"/>
    <w:rsid w:val="00C808F1"/>
    <w:rsid w:val="00C829AA"/>
    <w:rsid w:val="00C82B2D"/>
    <w:rsid w:val="00C82C78"/>
    <w:rsid w:val="00C835EE"/>
    <w:rsid w:val="00C86151"/>
    <w:rsid w:val="00C86BD9"/>
    <w:rsid w:val="00C86E20"/>
    <w:rsid w:val="00C92186"/>
    <w:rsid w:val="00C92999"/>
    <w:rsid w:val="00C939FC"/>
    <w:rsid w:val="00C93C9F"/>
    <w:rsid w:val="00C97D00"/>
    <w:rsid w:val="00CA0386"/>
    <w:rsid w:val="00CA0A72"/>
    <w:rsid w:val="00CA36C8"/>
    <w:rsid w:val="00CA5562"/>
    <w:rsid w:val="00CB0C84"/>
    <w:rsid w:val="00CB2A53"/>
    <w:rsid w:val="00CB4BE3"/>
    <w:rsid w:val="00CC55A1"/>
    <w:rsid w:val="00CD02B2"/>
    <w:rsid w:val="00CD0459"/>
    <w:rsid w:val="00CD095E"/>
    <w:rsid w:val="00CD0A03"/>
    <w:rsid w:val="00CD4981"/>
    <w:rsid w:val="00CD50A0"/>
    <w:rsid w:val="00CD7F12"/>
    <w:rsid w:val="00CE1A09"/>
    <w:rsid w:val="00CE4BDA"/>
    <w:rsid w:val="00CE69CE"/>
    <w:rsid w:val="00CF0CDD"/>
    <w:rsid w:val="00CF1CB6"/>
    <w:rsid w:val="00CF6C97"/>
    <w:rsid w:val="00D002AF"/>
    <w:rsid w:val="00D00A3A"/>
    <w:rsid w:val="00D016A2"/>
    <w:rsid w:val="00D0182D"/>
    <w:rsid w:val="00D02B8E"/>
    <w:rsid w:val="00D03ECE"/>
    <w:rsid w:val="00D07115"/>
    <w:rsid w:val="00D07A00"/>
    <w:rsid w:val="00D1084C"/>
    <w:rsid w:val="00D10F38"/>
    <w:rsid w:val="00D11B2A"/>
    <w:rsid w:val="00D17BDE"/>
    <w:rsid w:val="00D21BA7"/>
    <w:rsid w:val="00D240B9"/>
    <w:rsid w:val="00D31625"/>
    <w:rsid w:val="00D3479E"/>
    <w:rsid w:val="00D34812"/>
    <w:rsid w:val="00D36F39"/>
    <w:rsid w:val="00D371AE"/>
    <w:rsid w:val="00D45685"/>
    <w:rsid w:val="00D457A6"/>
    <w:rsid w:val="00D475CF"/>
    <w:rsid w:val="00D47736"/>
    <w:rsid w:val="00D50B2A"/>
    <w:rsid w:val="00D64292"/>
    <w:rsid w:val="00D648CD"/>
    <w:rsid w:val="00D64D31"/>
    <w:rsid w:val="00D71783"/>
    <w:rsid w:val="00D717B7"/>
    <w:rsid w:val="00D724F6"/>
    <w:rsid w:val="00D7343D"/>
    <w:rsid w:val="00D739AD"/>
    <w:rsid w:val="00D753DB"/>
    <w:rsid w:val="00D75B2F"/>
    <w:rsid w:val="00D807DA"/>
    <w:rsid w:val="00D8105E"/>
    <w:rsid w:val="00D83498"/>
    <w:rsid w:val="00D838E5"/>
    <w:rsid w:val="00D91847"/>
    <w:rsid w:val="00D92B9B"/>
    <w:rsid w:val="00D965E9"/>
    <w:rsid w:val="00DA3FB7"/>
    <w:rsid w:val="00DA5733"/>
    <w:rsid w:val="00DB0E0C"/>
    <w:rsid w:val="00DB113A"/>
    <w:rsid w:val="00DB4D5B"/>
    <w:rsid w:val="00DC0AD8"/>
    <w:rsid w:val="00DC5896"/>
    <w:rsid w:val="00DC63AC"/>
    <w:rsid w:val="00DC6F17"/>
    <w:rsid w:val="00DC7CC6"/>
    <w:rsid w:val="00DD2BF2"/>
    <w:rsid w:val="00DD399E"/>
    <w:rsid w:val="00DD44B4"/>
    <w:rsid w:val="00DD4CD8"/>
    <w:rsid w:val="00DD77B8"/>
    <w:rsid w:val="00DD7A53"/>
    <w:rsid w:val="00DE16D2"/>
    <w:rsid w:val="00DE4FA6"/>
    <w:rsid w:val="00DE5461"/>
    <w:rsid w:val="00DE5CEE"/>
    <w:rsid w:val="00DE65E3"/>
    <w:rsid w:val="00DF074A"/>
    <w:rsid w:val="00DF27F8"/>
    <w:rsid w:val="00DF29BA"/>
    <w:rsid w:val="00DF76CA"/>
    <w:rsid w:val="00DF7EF3"/>
    <w:rsid w:val="00E00638"/>
    <w:rsid w:val="00E01BAB"/>
    <w:rsid w:val="00E055D5"/>
    <w:rsid w:val="00E1039E"/>
    <w:rsid w:val="00E12137"/>
    <w:rsid w:val="00E155DC"/>
    <w:rsid w:val="00E203E7"/>
    <w:rsid w:val="00E20B33"/>
    <w:rsid w:val="00E246E6"/>
    <w:rsid w:val="00E2529B"/>
    <w:rsid w:val="00E2578E"/>
    <w:rsid w:val="00E30A08"/>
    <w:rsid w:val="00E31F17"/>
    <w:rsid w:val="00E3366C"/>
    <w:rsid w:val="00E35BA8"/>
    <w:rsid w:val="00E36883"/>
    <w:rsid w:val="00E453D4"/>
    <w:rsid w:val="00E45B1A"/>
    <w:rsid w:val="00E46B34"/>
    <w:rsid w:val="00E503BB"/>
    <w:rsid w:val="00E50664"/>
    <w:rsid w:val="00E50B50"/>
    <w:rsid w:val="00E54777"/>
    <w:rsid w:val="00E564A5"/>
    <w:rsid w:val="00E56E9F"/>
    <w:rsid w:val="00E56F0D"/>
    <w:rsid w:val="00E60939"/>
    <w:rsid w:val="00E61A46"/>
    <w:rsid w:val="00E62420"/>
    <w:rsid w:val="00E634F0"/>
    <w:rsid w:val="00E63C24"/>
    <w:rsid w:val="00E6425C"/>
    <w:rsid w:val="00E64E9D"/>
    <w:rsid w:val="00E65B73"/>
    <w:rsid w:val="00E718E4"/>
    <w:rsid w:val="00E7224A"/>
    <w:rsid w:val="00E72AB9"/>
    <w:rsid w:val="00E74E32"/>
    <w:rsid w:val="00E841C2"/>
    <w:rsid w:val="00E8560E"/>
    <w:rsid w:val="00E864C9"/>
    <w:rsid w:val="00E8693F"/>
    <w:rsid w:val="00E92379"/>
    <w:rsid w:val="00E928AA"/>
    <w:rsid w:val="00E95799"/>
    <w:rsid w:val="00E97BFB"/>
    <w:rsid w:val="00EA0A5C"/>
    <w:rsid w:val="00EA281D"/>
    <w:rsid w:val="00EA4721"/>
    <w:rsid w:val="00EA57E1"/>
    <w:rsid w:val="00EA6376"/>
    <w:rsid w:val="00EB075C"/>
    <w:rsid w:val="00EB09CC"/>
    <w:rsid w:val="00EB1529"/>
    <w:rsid w:val="00EB42EE"/>
    <w:rsid w:val="00EB5C9E"/>
    <w:rsid w:val="00EB7B51"/>
    <w:rsid w:val="00EC03F5"/>
    <w:rsid w:val="00EC12ED"/>
    <w:rsid w:val="00EC2873"/>
    <w:rsid w:val="00EC2EB9"/>
    <w:rsid w:val="00EC363D"/>
    <w:rsid w:val="00EC3934"/>
    <w:rsid w:val="00EC4110"/>
    <w:rsid w:val="00EC4F2B"/>
    <w:rsid w:val="00EC65C0"/>
    <w:rsid w:val="00EC68A2"/>
    <w:rsid w:val="00ED24F0"/>
    <w:rsid w:val="00EE01CA"/>
    <w:rsid w:val="00EE115B"/>
    <w:rsid w:val="00EE2204"/>
    <w:rsid w:val="00EE3DC4"/>
    <w:rsid w:val="00EE4123"/>
    <w:rsid w:val="00EE434D"/>
    <w:rsid w:val="00EE4D5D"/>
    <w:rsid w:val="00EE50ED"/>
    <w:rsid w:val="00EE5491"/>
    <w:rsid w:val="00EE5E88"/>
    <w:rsid w:val="00EE6156"/>
    <w:rsid w:val="00EE6539"/>
    <w:rsid w:val="00EE6E28"/>
    <w:rsid w:val="00EE78ED"/>
    <w:rsid w:val="00EF0D78"/>
    <w:rsid w:val="00EF108E"/>
    <w:rsid w:val="00EF13F9"/>
    <w:rsid w:val="00F018CD"/>
    <w:rsid w:val="00F053AF"/>
    <w:rsid w:val="00F05487"/>
    <w:rsid w:val="00F10122"/>
    <w:rsid w:val="00F107E9"/>
    <w:rsid w:val="00F1132B"/>
    <w:rsid w:val="00F1181E"/>
    <w:rsid w:val="00F137D3"/>
    <w:rsid w:val="00F15E56"/>
    <w:rsid w:val="00F16B9B"/>
    <w:rsid w:val="00F21A6F"/>
    <w:rsid w:val="00F21E35"/>
    <w:rsid w:val="00F22573"/>
    <w:rsid w:val="00F22F71"/>
    <w:rsid w:val="00F244C2"/>
    <w:rsid w:val="00F244CB"/>
    <w:rsid w:val="00F24782"/>
    <w:rsid w:val="00F27226"/>
    <w:rsid w:val="00F276C5"/>
    <w:rsid w:val="00F33666"/>
    <w:rsid w:val="00F3423D"/>
    <w:rsid w:val="00F36C45"/>
    <w:rsid w:val="00F36D09"/>
    <w:rsid w:val="00F406A2"/>
    <w:rsid w:val="00F40843"/>
    <w:rsid w:val="00F42450"/>
    <w:rsid w:val="00F4352C"/>
    <w:rsid w:val="00F43795"/>
    <w:rsid w:val="00F46841"/>
    <w:rsid w:val="00F46851"/>
    <w:rsid w:val="00F47343"/>
    <w:rsid w:val="00F47CCB"/>
    <w:rsid w:val="00F549B6"/>
    <w:rsid w:val="00F5655C"/>
    <w:rsid w:val="00F6175D"/>
    <w:rsid w:val="00F6319F"/>
    <w:rsid w:val="00F6343E"/>
    <w:rsid w:val="00F663A3"/>
    <w:rsid w:val="00F6751A"/>
    <w:rsid w:val="00F67D5B"/>
    <w:rsid w:val="00F71939"/>
    <w:rsid w:val="00F7528F"/>
    <w:rsid w:val="00F75C54"/>
    <w:rsid w:val="00F7652A"/>
    <w:rsid w:val="00F801CC"/>
    <w:rsid w:val="00F82626"/>
    <w:rsid w:val="00F826A6"/>
    <w:rsid w:val="00F917CD"/>
    <w:rsid w:val="00F92B1C"/>
    <w:rsid w:val="00F942CB"/>
    <w:rsid w:val="00F94618"/>
    <w:rsid w:val="00F95DE8"/>
    <w:rsid w:val="00F96073"/>
    <w:rsid w:val="00F9714E"/>
    <w:rsid w:val="00F97F0E"/>
    <w:rsid w:val="00FA06A2"/>
    <w:rsid w:val="00FA2D29"/>
    <w:rsid w:val="00FA4155"/>
    <w:rsid w:val="00FA4633"/>
    <w:rsid w:val="00FA4AE2"/>
    <w:rsid w:val="00FA5968"/>
    <w:rsid w:val="00FA7E3E"/>
    <w:rsid w:val="00FB0589"/>
    <w:rsid w:val="00FB0CBC"/>
    <w:rsid w:val="00FB2308"/>
    <w:rsid w:val="00FB2DED"/>
    <w:rsid w:val="00FB498D"/>
    <w:rsid w:val="00FB4CF6"/>
    <w:rsid w:val="00FC1603"/>
    <w:rsid w:val="00FC165E"/>
    <w:rsid w:val="00FC4462"/>
    <w:rsid w:val="00FC6E61"/>
    <w:rsid w:val="00FD0E0F"/>
    <w:rsid w:val="00FD0F41"/>
    <w:rsid w:val="00FD20BE"/>
    <w:rsid w:val="00FD4664"/>
    <w:rsid w:val="00FE06E1"/>
    <w:rsid w:val="00FE3807"/>
    <w:rsid w:val="00FE3CFC"/>
    <w:rsid w:val="00FE484B"/>
    <w:rsid w:val="00FE56D3"/>
    <w:rsid w:val="00FE59BA"/>
    <w:rsid w:val="00FE5CDD"/>
    <w:rsid w:val="00FE7CB6"/>
    <w:rsid w:val="00FF0BFC"/>
    <w:rsid w:val="00FF10F4"/>
    <w:rsid w:val="00FF1AF2"/>
    <w:rsid w:val="00FF2038"/>
    <w:rsid w:val="00FF2C82"/>
    <w:rsid w:val="00FF44C6"/>
    <w:rsid w:val="00FF46A8"/>
    <w:rsid w:val="00FF5289"/>
    <w:rsid w:val="00FF62BA"/>
    <w:rsid w:val="00FF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footer" w:uiPriority="99"/>
    <w:lsdException w:name="caption"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3423D"/>
    <w:pPr>
      <w:spacing w:after="240"/>
    </w:pPr>
    <w:rPr>
      <w:rFonts w:ascii="Minion Pro" w:hAnsi="Minion Pro"/>
      <w:sz w:val="24"/>
      <w:szCs w:val="24"/>
    </w:rPr>
  </w:style>
  <w:style w:type="paragraph" w:styleId="Heading1">
    <w:name w:val="heading 1"/>
    <w:basedOn w:val="Normal"/>
    <w:next w:val="Normal"/>
    <w:link w:val="Heading1Char"/>
    <w:qFormat/>
    <w:rsid w:val="001B4D5F"/>
    <w:pPr>
      <w:keepNext/>
      <w:spacing w:before="2400" w:after="360"/>
      <w:outlineLvl w:val="0"/>
    </w:pPr>
    <w:rPr>
      <w:rFonts w:ascii="Tw Cen MT Condensed" w:hAnsi="Tw Cen MT Condensed" w:cs="Arial"/>
      <w:bCs/>
      <w:color w:val="005954"/>
      <w:kern w:val="32"/>
      <w:sz w:val="90"/>
      <w:szCs w:val="32"/>
    </w:rPr>
  </w:style>
  <w:style w:type="paragraph" w:styleId="Heading2">
    <w:name w:val="heading 2"/>
    <w:aliases w:val="Paragraph headers"/>
    <w:next w:val="Normal"/>
    <w:link w:val="Heading2Char"/>
    <w:qFormat/>
    <w:rsid w:val="0019351C"/>
    <w:pPr>
      <w:spacing w:before="480" w:after="240"/>
      <w:outlineLvl w:val="1"/>
    </w:pPr>
    <w:rPr>
      <w:rFonts w:ascii="Tw Cen MT" w:hAnsi="Tw Cen MT" w:cs="Arial"/>
      <w:b/>
      <w:iCs/>
      <w:color w:val="005954"/>
      <w:kern w:val="32"/>
      <w:sz w:val="32"/>
      <w:szCs w:val="28"/>
    </w:rPr>
  </w:style>
  <w:style w:type="paragraph" w:styleId="Heading3">
    <w:name w:val="heading 3"/>
    <w:basedOn w:val="Normal"/>
    <w:next w:val="Normal"/>
    <w:link w:val="Heading3Char"/>
    <w:qFormat/>
    <w:rsid w:val="003C4421"/>
    <w:pPr>
      <w:keepNext/>
      <w:spacing w:before="240"/>
      <w:outlineLvl w:val="2"/>
    </w:pPr>
    <w:rPr>
      <w:rFonts w:ascii="Tw Cen MT Condensed" w:hAnsi="Tw Cen MT Condensed" w:cs="Arial"/>
      <w:b/>
      <w:bCs/>
      <w:color w:val="808080"/>
      <w:sz w:val="28"/>
      <w:szCs w:val="26"/>
    </w:rPr>
  </w:style>
  <w:style w:type="paragraph" w:styleId="Heading4">
    <w:name w:val="heading 4"/>
    <w:basedOn w:val="Normal"/>
    <w:next w:val="Normal"/>
    <w:rsid w:val="00E718E4"/>
    <w:pPr>
      <w:keepNext/>
      <w:spacing w:before="240" w:after="60"/>
      <w:outlineLvl w:val="3"/>
    </w:pPr>
    <w:rPr>
      <w:rFonts w:ascii="Times New Roman" w:hAnsi="Times New Roman"/>
      <w:b/>
      <w:bCs/>
      <w:sz w:val="28"/>
      <w:szCs w:val="28"/>
    </w:rPr>
  </w:style>
  <w:style w:type="paragraph" w:styleId="Heading5">
    <w:name w:val="heading 5"/>
    <w:basedOn w:val="Normal"/>
    <w:next w:val="Normal"/>
    <w:rsid w:val="00E718E4"/>
    <w:pPr>
      <w:spacing w:before="240" w:after="60"/>
      <w:outlineLvl w:val="4"/>
    </w:pPr>
    <w:rPr>
      <w:b/>
      <w:bCs/>
      <w:i/>
      <w:iCs/>
      <w:sz w:val="26"/>
      <w:szCs w:val="26"/>
    </w:rPr>
  </w:style>
  <w:style w:type="paragraph" w:styleId="Heading6">
    <w:name w:val="heading 6"/>
    <w:basedOn w:val="Normal"/>
    <w:next w:val="Normal"/>
    <w:rsid w:val="00E718E4"/>
    <w:pPr>
      <w:spacing w:before="240" w:after="60"/>
      <w:outlineLvl w:val="5"/>
    </w:pPr>
    <w:rPr>
      <w:rFonts w:ascii="Times New Roman" w:hAnsi="Times New Roman"/>
      <w:b/>
      <w:bCs/>
      <w:sz w:val="22"/>
      <w:szCs w:val="22"/>
    </w:rPr>
  </w:style>
  <w:style w:type="paragraph" w:styleId="Heading7">
    <w:name w:val="heading 7"/>
    <w:basedOn w:val="Normal"/>
    <w:next w:val="Normal"/>
    <w:rsid w:val="00E718E4"/>
    <w:pPr>
      <w:spacing w:before="240" w:after="60"/>
      <w:outlineLvl w:val="6"/>
    </w:pPr>
    <w:rPr>
      <w:rFonts w:ascii="Times New Roman" w:hAnsi="Times New Roman"/>
    </w:rPr>
  </w:style>
  <w:style w:type="paragraph" w:styleId="Heading8">
    <w:name w:val="heading 8"/>
    <w:basedOn w:val="Normal"/>
    <w:next w:val="Normal"/>
    <w:rsid w:val="00E718E4"/>
    <w:pPr>
      <w:spacing w:before="240" w:after="60"/>
      <w:outlineLvl w:val="7"/>
    </w:pPr>
    <w:rPr>
      <w:rFonts w:ascii="Times New Roman" w:hAnsi="Times New Roman"/>
      <w:i/>
      <w:iCs/>
    </w:rPr>
  </w:style>
  <w:style w:type="paragraph" w:styleId="Heading9">
    <w:name w:val="heading 9"/>
    <w:basedOn w:val="Normal"/>
    <w:next w:val="Normal"/>
    <w:rsid w:val="00E718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8CD"/>
    <w:pPr>
      <w:tabs>
        <w:tab w:val="center" w:pos="4320"/>
        <w:tab w:val="right" w:pos="8640"/>
      </w:tabs>
    </w:pPr>
  </w:style>
  <w:style w:type="paragraph" w:styleId="Footer">
    <w:name w:val="footer"/>
    <w:basedOn w:val="Normal"/>
    <w:link w:val="FooterChar"/>
    <w:uiPriority w:val="99"/>
    <w:rsid w:val="00D648CD"/>
    <w:pPr>
      <w:tabs>
        <w:tab w:val="center" w:pos="4320"/>
        <w:tab w:val="right" w:pos="8640"/>
      </w:tabs>
    </w:pPr>
    <w:rPr>
      <w:rFonts w:ascii="Tw Cen MT Condensed" w:hAnsi="Tw Cen MT Condensed"/>
      <w:sz w:val="20"/>
    </w:rPr>
  </w:style>
  <w:style w:type="character" w:styleId="PageNumber">
    <w:name w:val="page number"/>
    <w:basedOn w:val="DefaultParagraphFont"/>
    <w:rsid w:val="00D648CD"/>
    <w:rPr>
      <w:rFonts w:ascii="Tw Cen MT Condensed Extra Bold" w:hAnsi="Tw Cen MT Condensed Extra Bold"/>
      <w:color w:val="auto"/>
      <w:sz w:val="24"/>
    </w:rPr>
  </w:style>
  <w:style w:type="paragraph" w:customStyle="1" w:styleId="Equalopportunitytext">
    <w:name w:val="Equal opportunity text"/>
    <w:basedOn w:val="Normal"/>
    <w:link w:val="EqualopportunitytextChar"/>
    <w:rsid w:val="00D648CD"/>
    <w:pPr>
      <w:autoSpaceDE w:val="0"/>
      <w:autoSpaceDN w:val="0"/>
      <w:adjustRightInd w:val="0"/>
      <w:spacing w:line="220" w:lineRule="atLeast"/>
      <w:textAlignment w:val="baseline"/>
    </w:pPr>
    <w:rPr>
      <w:rFonts w:ascii="Tw Cen MT" w:hAnsi="Tw Cen MT" w:cs="Tw Cen MT"/>
      <w:i/>
      <w:iCs/>
      <w:color w:val="000000"/>
      <w:spacing w:val="-4"/>
      <w:sz w:val="21"/>
      <w:szCs w:val="21"/>
    </w:rPr>
  </w:style>
  <w:style w:type="paragraph" w:customStyle="1" w:styleId="EqualOpportunity">
    <w:name w:val="Equal Opportunity"/>
    <w:basedOn w:val="Equalopportunitytext"/>
    <w:link w:val="EqualOpportunityChar"/>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rFonts w:ascii="Tw Cen MT" w:hAnsi="Tw Cen MT"/>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rsid w:val="003C4421"/>
    <w:rPr>
      <w:rFonts w:ascii="Tw Cen MT Condensed" w:hAnsi="Tw Cen MT Condensed" w:cs="Arial"/>
      <w:b/>
      <w:bCs/>
      <w:color w:val="808080"/>
      <w:sz w:val="28"/>
      <w:szCs w:val="26"/>
      <w:lang w:val="en-US" w:eastAsia="en-US" w:bidi="ar-SA"/>
    </w:rPr>
  </w:style>
  <w:style w:type="paragraph" w:customStyle="1" w:styleId="Sub-head">
    <w:name w:val="Sub-head"/>
    <w:basedOn w:val="Normal"/>
    <w:link w:val="Sub-headChar"/>
    <w:rsid w:val="000E504E"/>
    <w:pPr>
      <w:keepNext/>
      <w:spacing w:before="120" w:after="0"/>
    </w:pPr>
    <w:rPr>
      <w:rFonts w:ascii="Tw Cen MT" w:hAnsi="Tw Cen MT"/>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semiHidden/>
    <w:rsid w:val="00E718E4"/>
    <w:rPr>
      <w:rFonts w:ascii="Tahoma" w:hAnsi="Tahoma" w:cs="Tahoma"/>
      <w:sz w:val="16"/>
      <w:szCs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semiHidden/>
    <w:rsid w:val="00E718E4"/>
    <w:rPr>
      <w:sz w:val="20"/>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cs="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cs="Arial"/>
      <w:b/>
      <w:bCs/>
    </w:rPr>
  </w:style>
  <w:style w:type="paragraph" w:styleId="TOC1">
    <w:name w:val="toc 1"/>
    <w:basedOn w:val="Normal"/>
    <w:next w:val="Normal"/>
    <w:autoRedefine/>
    <w:semiHidden/>
    <w:rsid w:val="00E718E4"/>
  </w:style>
  <w:style w:type="paragraph" w:styleId="TOC2">
    <w:name w:val="toc 2"/>
    <w:basedOn w:val="Normal"/>
    <w:next w:val="Normal"/>
    <w:autoRedefine/>
    <w:semiHidden/>
    <w:rsid w:val="00E718E4"/>
    <w:pPr>
      <w:ind w:left="240"/>
    </w:pPr>
  </w:style>
  <w:style w:type="paragraph" w:styleId="TOC3">
    <w:name w:val="toc 3"/>
    <w:basedOn w:val="Normal"/>
    <w:next w:val="Normal"/>
    <w:autoRedefine/>
    <w:semiHidden/>
    <w:rsid w:val="00E718E4"/>
    <w:pPr>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1B4D5F"/>
    <w:rPr>
      <w:rFonts w:ascii="Tw Cen MT Condensed" w:hAnsi="Tw Cen MT Condensed" w:cs="Arial"/>
      <w:bCs/>
      <w:color w:val="005954"/>
      <w:kern w:val="32"/>
      <w:sz w:val="90"/>
      <w:szCs w:val="32"/>
    </w:rPr>
  </w:style>
  <w:style w:type="character" w:customStyle="1" w:styleId="Heading2Char">
    <w:name w:val="Heading 2 Char"/>
    <w:aliases w:val="Paragraph headers Char"/>
    <w:basedOn w:val="Heading1Char"/>
    <w:link w:val="Heading2"/>
    <w:rsid w:val="0019351C"/>
    <w:rPr>
      <w:rFonts w:ascii="Tw Cen MT" w:hAnsi="Tw Cen MT" w:cs="Arial"/>
      <w:b/>
      <w:bCs w:val="0"/>
      <w:iCs/>
      <w:color w:val="005954"/>
      <w:kern w:val="32"/>
      <w:sz w:val="32"/>
      <w:szCs w:val="28"/>
    </w:rPr>
  </w:style>
  <w:style w:type="paragraph" w:styleId="NormalWeb">
    <w:name w:val="Normal (Web)"/>
    <w:basedOn w:val="Normal"/>
    <w:uiPriority w:val="99"/>
    <w:unhideWhenUsed/>
    <w:rsid w:val="001A245C"/>
    <w:pPr>
      <w:spacing w:before="100" w:beforeAutospacing="1" w:after="100" w:afterAutospacing="1"/>
    </w:pPr>
    <w:rPr>
      <w:rFonts w:ascii="Times New Roman" w:hAnsi="Times New Roman"/>
    </w:rPr>
  </w:style>
  <w:style w:type="paragraph" w:styleId="ListParagraph">
    <w:name w:val="List Paragraph"/>
    <w:basedOn w:val="Normal"/>
    <w:uiPriority w:val="34"/>
    <w:rsid w:val="00293C9D"/>
    <w:pPr>
      <w:ind w:left="720"/>
      <w:contextualSpacing/>
    </w:pPr>
  </w:style>
  <w:style w:type="paragraph" w:customStyle="1" w:styleId="Body">
    <w:name w:val="Body"/>
    <w:basedOn w:val="Normal"/>
    <w:link w:val="BodyChar"/>
    <w:qFormat/>
    <w:rsid w:val="007D7DDF"/>
    <w:rPr>
      <w:rFonts w:ascii="Tw Cen MT" w:hAnsi="Tw Cen MT" w:cstheme="minorHAnsi"/>
    </w:rPr>
  </w:style>
  <w:style w:type="paragraph" w:customStyle="1" w:styleId="Greenboxsubhead">
    <w:name w:val="Green box sub head"/>
    <w:basedOn w:val="Heading1"/>
    <w:link w:val="GreenboxsubheadChar"/>
    <w:qFormat/>
    <w:rsid w:val="00323400"/>
    <w:pPr>
      <w:autoSpaceDE w:val="0"/>
      <w:spacing w:before="100" w:beforeAutospacing="1" w:after="120"/>
    </w:pPr>
    <w:rPr>
      <w:color w:val="FFFFFF" w:themeColor="background1"/>
      <w:sz w:val="52"/>
    </w:rPr>
  </w:style>
  <w:style w:type="character" w:customStyle="1" w:styleId="BodyChar">
    <w:name w:val="Body Char"/>
    <w:basedOn w:val="DefaultParagraphFont"/>
    <w:link w:val="Body"/>
    <w:rsid w:val="007D7DDF"/>
    <w:rPr>
      <w:rFonts w:ascii="Tw Cen MT" w:hAnsi="Tw Cen MT" w:cstheme="minorHAnsi"/>
      <w:sz w:val="24"/>
      <w:szCs w:val="24"/>
    </w:rPr>
  </w:style>
  <w:style w:type="paragraph" w:customStyle="1" w:styleId="Date1">
    <w:name w:val="Date1"/>
    <w:basedOn w:val="Heading3"/>
    <w:link w:val="DATEChar"/>
    <w:qFormat/>
    <w:rsid w:val="00323400"/>
    <w:pPr>
      <w:spacing w:before="7200" w:after="0"/>
      <w:jc w:val="right"/>
    </w:pPr>
    <w:rPr>
      <w:color w:val="000000" w:themeColor="text1"/>
    </w:rPr>
  </w:style>
  <w:style w:type="character" w:customStyle="1" w:styleId="GreenboxsubheadChar">
    <w:name w:val="Green box sub head Char"/>
    <w:basedOn w:val="Heading1Char"/>
    <w:link w:val="Greenboxsubhead"/>
    <w:rsid w:val="00323400"/>
    <w:rPr>
      <w:rFonts w:ascii="Tw Cen MT Condensed" w:hAnsi="Tw Cen MT Condensed" w:cs="Arial"/>
      <w:bCs/>
      <w:color w:val="FFFFFF" w:themeColor="background1"/>
      <w:kern w:val="32"/>
      <w:sz w:val="52"/>
      <w:szCs w:val="32"/>
    </w:rPr>
  </w:style>
  <w:style w:type="character" w:customStyle="1" w:styleId="FooterChar">
    <w:name w:val="Footer Char"/>
    <w:basedOn w:val="DefaultParagraphFont"/>
    <w:link w:val="Footer"/>
    <w:uiPriority w:val="99"/>
    <w:rsid w:val="0019351C"/>
    <w:rPr>
      <w:rFonts w:ascii="Tw Cen MT Condensed" w:hAnsi="Tw Cen MT Condensed"/>
      <w:szCs w:val="24"/>
    </w:rPr>
  </w:style>
  <w:style w:type="character" w:customStyle="1" w:styleId="DATEChar">
    <w:name w:val="DATE Char"/>
    <w:basedOn w:val="Heading3Char"/>
    <w:link w:val="Date1"/>
    <w:rsid w:val="00323400"/>
    <w:rPr>
      <w:rFonts w:ascii="Tw Cen MT Condensed" w:hAnsi="Tw Cen MT Condensed" w:cs="Arial"/>
      <w:b/>
      <w:bCs/>
      <w:color w:val="000000" w:themeColor="text1"/>
      <w:sz w:val="28"/>
      <w:szCs w:val="26"/>
      <w:lang w:val="en-US" w:eastAsia="en-US" w:bidi="ar-SA"/>
    </w:rPr>
  </w:style>
  <w:style w:type="paragraph" w:customStyle="1" w:styleId="disclaimer">
    <w:name w:val="disclaimer"/>
    <w:basedOn w:val="EqualOpportunity"/>
    <w:link w:val="disclaimerChar"/>
    <w:qFormat/>
    <w:rsid w:val="007D7DDF"/>
    <w:pPr>
      <w:spacing w:before="6480"/>
    </w:pPr>
  </w:style>
  <w:style w:type="character" w:customStyle="1" w:styleId="EqualopportunitytextChar">
    <w:name w:val="Equal opportunity text Char"/>
    <w:basedOn w:val="DefaultParagraphFont"/>
    <w:link w:val="Equalopportunitytext"/>
    <w:rsid w:val="00131CFB"/>
    <w:rPr>
      <w:rFonts w:ascii="Tw Cen MT" w:hAnsi="Tw Cen MT" w:cs="Tw Cen MT"/>
      <w:i/>
      <w:iCs/>
      <w:color w:val="000000"/>
      <w:spacing w:val="-4"/>
      <w:sz w:val="21"/>
      <w:szCs w:val="21"/>
    </w:rPr>
  </w:style>
  <w:style w:type="character" w:customStyle="1" w:styleId="EqualOpportunityChar">
    <w:name w:val="Equal Opportunity Char"/>
    <w:basedOn w:val="EqualopportunitytextChar"/>
    <w:link w:val="EqualOpportunity"/>
    <w:rsid w:val="00131CFB"/>
    <w:rPr>
      <w:rFonts w:ascii="Tw Cen MT" w:hAnsi="Tw Cen MT" w:cs="Tw Cen MT"/>
      <w:i/>
      <w:iCs/>
      <w:color w:val="000000"/>
      <w:spacing w:val="-4"/>
      <w:sz w:val="18"/>
      <w:szCs w:val="21"/>
    </w:rPr>
  </w:style>
  <w:style w:type="character" w:customStyle="1" w:styleId="disclaimerChar">
    <w:name w:val="disclaimer Char"/>
    <w:basedOn w:val="EqualOpportunityChar"/>
    <w:link w:val="disclaimer"/>
    <w:rsid w:val="007D7DDF"/>
    <w:rPr>
      <w:rFonts w:ascii="Tw Cen MT" w:hAnsi="Tw Cen MT" w:cs="Tw Cen MT"/>
      <w:i/>
      <w:iCs/>
      <w:color w:val="000000"/>
      <w:spacing w:val="-4"/>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footer" w:uiPriority="99"/>
    <w:lsdException w:name="caption"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3423D"/>
    <w:pPr>
      <w:spacing w:after="240"/>
    </w:pPr>
    <w:rPr>
      <w:rFonts w:ascii="Minion Pro" w:hAnsi="Minion Pro"/>
      <w:sz w:val="24"/>
      <w:szCs w:val="24"/>
    </w:rPr>
  </w:style>
  <w:style w:type="paragraph" w:styleId="Heading1">
    <w:name w:val="heading 1"/>
    <w:basedOn w:val="Normal"/>
    <w:next w:val="Normal"/>
    <w:link w:val="Heading1Char"/>
    <w:qFormat/>
    <w:rsid w:val="001B4D5F"/>
    <w:pPr>
      <w:keepNext/>
      <w:spacing w:before="2400" w:after="360"/>
      <w:outlineLvl w:val="0"/>
    </w:pPr>
    <w:rPr>
      <w:rFonts w:ascii="Tw Cen MT Condensed" w:hAnsi="Tw Cen MT Condensed" w:cs="Arial"/>
      <w:bCs/>
      <w:color w:val="005954"/>
      <w:kern w:val="32"/>
      <w:sz w:val="90"/>
      <w:szCs w:val="32"/>
    </w:rPr>
  </w:style>
  <w:style w:type="paragraph" w:styleId="Heading2">
    <w:name w:val="heading 2"/>
    <w:aliases w:val="Paragraph headers"/>
    <w:next w:val="Normal"/>
    <w:link w:val="Heading2Char"/>
    <w:qFormat/>
    <w:rsid w:val="0019351C"/>
    <w:pPr>
      <w:spacing w:before="480" w:after="240"/>
      <w:outlineLvl w:val="1"/>
    </w:pPr>
    <w:rPr>
      <w:rFonts w:ascii="Tw Cen MT" w:hAnsi="Tw Cen MT" w:cs="Arial"/>
      <w:b/>
      <w:iCs/>
      <w:color w:val="005954"/>
      <w:kern w:val="32"/>
      <w:sz w:val="32"/>
      <w:szCs w:val="28"/>
    </w:rPr>
  </w:style>
  <w:style w:type="paragraph" w:styleId="Heading3">
    <w:name w:val="heading 3"/>
    <w:basedOn w:val="Normal"/>
    <w:next w:val="Normal"/>
    <w:link w:val="Heading3Char"/>
    <w:qFormat/>
    <w:rsid w:val="003C4421"/>
    <w:pPr>
      <w:keepNext/>
      <w:spacing w:before="240"/>
      <w:outlineLvl w:val="2"/>
    </w:pPr>
    <w:rPr>
      <w:rFonts w:ascii="Tw Cen MT Condensed" w:hAnsi="Tw Cen MT Condensed" w:cs="Arial"/>
      <w:b/>
      <w:bCs/>
      <w:color w:val="808080"/>
      <w:sz w:val="28"/>
      <w:szCs w:val="26"/>
    </w:rPr>
  </w:style>
  <w:style w:type="paragraph" w:styleId="Heading4">
    <w:name w:val="heading 4"/>
    <w:basedOn w:val="Normal"/>
    <w:next w:val="Normal"/>
    <w:rsid w:val="00E718E4"/>
    <w:pPr>
      <w:keepNext/>
      <w:spacing w:before="240" w:after="60"/>
      <w:outlineLvl w:val="3"/>
    </w:pPr>
    <w:rPr>
      <w:rFonts w:ascii="Times New Roman" w:hAnsi="Times New Roman"/>
      <w:b/>
      <w:bCs/>
      <w:sz w:val="28"/>
      <w:szCs w:val="28"/>
    </w:rPr>
  </w:style>
  <w:style w:type="paragraph" w:styleId="Heading5">
    <w:name w:val="heading 5"/>
    <w:basedOn w:val="Normal"/>
    <w:next w:val="Normal"/>
    <w:rsid w:val="00E718E4"/>
    <w:pPr>
      <w:spacing w:before="240" w:after="60"/>
      <w:outlineLvl w:val="4"/>
    </w:pPr>
    <w:rPr>
      <w:b/>
      <w:bCs/>
      <w:i/>
      <w:iCs/>
      <w:sz w:val="26"/>
      <w:szCs w:val="26"/>
    </w:rPr>
  </w:style>
  <w:style w:type="paragraph" w:styleId="Heading6">
    <w:name w:val="heading 6"/>
    <w:basedOn w:val="Normal"/>
    <w:next w:val="Normal"/>
    <w:rsid w:val="00E718E4"/>
    <w:pPr>
      <w:spacing w:before="240" w:after="60"/>
      <w:outlineLvl w:val="5"/>
    </w:pPr>
    <w:rPr>
      <w:rFonts w:ascii="Times New Roman" w:hAnsi="Times New Roman"/>
      <w:b/>
      <w:bCs/>
      <w:sz w:val="22"/>
      <w:szCs w:val="22"/>
    </w:rPr>
  </w:style>
  <w:style w:type="paragraph" w:styleId="Heading7">
    <w:name w:val="heading 7"/>
    <w:basedOn w:val="Normal"/>
    <w:next w:val="Normal"/>
    <w:rsid w:val="00E718E4"/>
    <w:pPr>
      <w:spacing w:before="240" w:after="60"/>
      <w:outlineLvl w:val="6"/>
    </w:pPr>
    <w:rPr>
      <w:rFonts w:ascii="Times New Roman" w:hAnsi="Times New Roman"/>
    </w:rPr>
  </w:style>
  <w:style w:type="paragraph" w:styleId="Heading8">
    <w:name w:val="heading 8"/>
    <w:basedOn w:val="Normal"/>
    <w:next w:val="Normal"/>
    <w:rsid w:val="00E718E4"/>
    <w:pPr>
      <w:spacing w:before="240" w:after="60"/>
      <w:outlineLvl w:val="7"/>
    </w:pPr>
    <w:rPr>
      <w:rFonts w:ascii="Times New Roman" w:hAnsi="Times New Roman"/>
      <w:i/>
      <w:iCs/>
    </w:rPr>
  </w:style>
  <w:style w:type="paragraph" w:styleId="Heading9">
    <w:name w:val="heading 9"/>
    <w:basedOn w:val="Normal"/>
    <w:next w:val="Normal"/>
    <w:rsid w:val="00E718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8CD"/>
    <w:pPr>
      <w:tabs>
        <w:tab w:val="center" w:pos="4320"/>
        <w:tab w:val="right" w:pos="8640"/>
      </w:tabs>
    </w:pPr>
  </w:style>
  <w:style w:type="paragraph" w:styleId="Footer">
    <w:name w:val="footer"/>
    <w:basedOn w:val="Normal"/>
    <w:link w:val="FooterChar"/>
    <w:uiPriority w:val="99"/>
    <w:rsid w:val="00D648CD"/>
    <w:pPr>
      <w:tabs>
        <w:tab w:val="center" w:pos="4320"/>
        <w:tab w:val="right" w:pos="8640"/>
      </w:tabs>
    </w:pPr>
    <w:rPr>
      <w:rFonts w:ascii="Tw Cen MT Condensed" w:hAnsi="Tw Cen MT Condensed"/>
      <w:sz w:val="20"/>
    </w:rPr>
  </w:style>
  <w:style w:type="character" w:styleId="PageNumber">
    <w:name w:val="page number"/>
    <w:basedOn w:val="DefaultParagraphFont"/>
    <w:rsid w:val="00D648CD"/>
    <w:rPr>
      <w:rFonts w:ascii="Tw Cen MT Condensed Extra Bold" w:hAnsi="Tw Cen MT Condensed Extra Bold"/>
      <w:color w:val="auto"/>
      <w:sz w:val="24"/>
    </w:rPr>
  </w:style>
  <w:style w:type="paragraph" w:customStyle="1" w:styleId="Equalopportunitytext">
    <w:name w:val="Equal opportunity text"/>
    <w:basedOn w:val="Normal"/>
    <w:link w:val="EqualopportunitytextChar"/>
    <w:rsid w:val="00D648CD"/>
    <w:pPr>
      <w:autoSpaceDE w:val="0"/>
      <w:autoSpaceDN w:val="0"/>
      <w:adjustRightInd w:val="0"/>
      <w:spacing w:line="220" w:lineRule="atLeast"/>
      <w:textAlignment w:val="baseline"/>
    </w:pPr>
    <w:rPr>
      <w:rFonts w:ascii="Tw Cen MT" w:hAnsi="Tw Cen MT" w:cs="Tw Cen MT"/>
      <w:i/>
      <w:iCs/>
      <w:color w:val="000000"/>
      <w:spacing w:val="-4"/>
      <w:sz w:val="21"/>
      <w:szCs w:val="21"/>
    </w:rPr>
  </w:style>
  <w:style w:type="paragraph" w:customStyle="1" w:styleId="EqualOpportunity">
    <w:name w:val="Equal Opportunity"/>
    <w:basedOn w:val="Equalopportunitytext"/>
    <w:link w:val="EqualOpportunityChar"/>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rFonts w:ascii="Tw Cen MT" w:hAnsi="Tw Cen MT"/>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rsid w:val="003C4421"/>
    <w:rPr>
      <w:rFonts w:ascii="Tw Cen MT Condensed" w:hAnsi="Tw Cen MT Condensed" w:cs="Arial"/>
      <w:b/>
      <w:bCs/>
      <w:color w:val="808080"/>
      <w:sz w:val="28"/>
      <w:szCs w:val="26"/>
      <w:lang w:val="en-US" w:eastAsia="en-US" w:bidi="ar-SA"/>
    </w:rPr>
  </w:style>
  <w:style w:type="paragraph" w:customStyle="1" w:styleId="Sub-head">
    <w:name w:val="Sub-head"/>
    <w:basedOn w:val="Normal"/>
    <w:link w:val="Sub-headChar"/>
    <w:rsid w:val="000E504E"/>
    <w:pPr>
      <w:keepNext/>
      <w:spacing w:before="120" w:after="0"/>
    </w:pPr>
    <w:rPr>
      <w:rFonts w:ascii="Tw Cen MT" w:hAnsi="Tw Cen MT"/>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semiHidden/>
    <w:rsid w:val="00E718E4"/>
    <w:rPr>
      <w:rFonts w:ascii="Tahoma" w:hAnsi="Tahoma" w:cs="Tahoma"/>
      <w:sz w:val="16"/>
      <w:szCs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semiHidden/>
    <w:rsid w:val="00E718E4"/>
    <w:rPr>
      <w:sz w:val="20"/>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cs="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cs="Arial"/>
      <w:b/>
      <w:bCs/>
    </w:rPr>
  </w:style>
  <w:style w:type="paragraph" w:styleId="TOC1">
    <w:name w:val="toc 1"/>
    <w:basedOn w:val="Normal"/>
    <w:next w:val="Normal"/>
    <w:autoRedefine/>
    <w:semiHidden/>
    <w:rsid w:val="00E718E4"/>
  </w:style>
  <w:style w:type="paragraph" w:styleId="TOC2">
    <w:name w:val="toc 2"/>
    <w:basedOn w:val="Normal"/>
    <w:next w:val="Normal"/>
    <w:autoRedefine/>
    <w:semiHidden/>
    <w:rsid w:val="00E718E4"/>
    <w:pPr>
      <w:ind w:left="240"/>
    </w:pPr>
  </w:style>
  <w:style w:type="paragraph" w:styleId="TOC3">
    <w:name w:val="toc 3"/>
    <w:basedOn w:val="Normal"/>
    <w:next w:val="Normal"/>
    <w:autoRedefine/>
    <w:semiHidden/>
    <w:rsid w:val="00E718E4"/>
    <w:pPr>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1B4D5F"/>
    <w:rPr>
      <w:rFonts w:ascii="Tw Cen MT Condensed" w:hAnsi="Tw Cen MT Condensed" w:cs="Arial"/>
      <w:bCs/>
      <w:color w:val="005954"/>
      <w:kern w:val="32"/>
      <w:sz w:val="90"/>
      <w:szCs w:val="32"/>
    </w:rPr>
  </w:style>
  <w:style w:type="character" w:customStyle="1" w:styleId="Heading2Char">
    <w:name w:val="Heading 2 Char"/>
    <w:aliases w:val="Paragraph headers Char"/>
    <w:basedOn w:val="Heading1Char"/>
    <w:link w:val="Heading2"/>
    <w:rsid w:val="0019351C"/>
    <w:rPr>
      <w:rFonts w:ascii="Tw Cen MT" w:hAnsi="Tw Cen MT" w:cs="Arial"/>
      <w:b/>
      <w:bCs w:val="0"/>
      <w:iCs/>
      <w:color w:val="005954"/>
      <w:kern w:val="32"/>
      <w:sz w:val="32"/>
      <w:szCs w:val="28"/>
    </w:rPr>
  </w:style>
  <w:style w:type="paragraph" w:styleId="NormalWeb">
    <w:name w:val="Normal (Web)"/>
    <w:basedOn w:val="Normal"/>
    <w:uiPriority w:val="99"/>
    <w:unhideWhenUsed/>
    <w:rsid w:val="001A245C"/>
    <w:pPr>
      <w:spacing w:before="100" w:beforeAutospacing="1" w:after="100" w:afterAutospacing="1"/>
    </w:pPr>
    <w:rPr>
      <w:rFonts w:ascii="Times New Roman" w:hAnsi="Times New Roman"/>
    </w:rPr>
  </w:style>
  <w:style w:type="paragraph" w:styleId="ListParagraph">
    <w:name w:val="List Paragraph"/>
    <w:basedOn w:val="Normal"/>
    <w:uiPriority w:val="34"/>
    <w:rsid w:val="00293C9D"/>
    <w:pPr>
      <w:ind w:left="720"/>
      <w:contextualSpacing/>
    </w:pPr>
  </w:style>
  <w:style w:type="paragraph" w:customStyle="1" w:styleId="Body">
    <w:name w:val="Body"/>
    <w:basedOn w:val="Normal"/>
    <w:link w:val="BodyChar"/>
    <w:qFormat/>
    <w:rsid w:val="007D7DDF"/>
    <w:rPr>
      <w:rFonts w:ascii="Tw Cen MT" w:hAnsi="Tw Cen MT" w:cstheme="minorHAnsi"/>
    </w:rPr>
  </w:style>
  <w:style w:type="paragraph" w:customStyle="1" w:styleId="Greenboxsubhead">
    <w:name w:val="Green box sub head"/>
    <w:basedOn w:val="Heading1"/>
    <w:link w:val="GreenboxsubheadChar"/>
    <w:qFormat/>
    <w:rsid w:val="00323400"/>
    <w:pPr>
      <w:autoSpaceDE w:val="0"/>
      <w:spacing w:before="100" w:beforeAutospacing="1" w:after="120"/>
    </w:pPr>
    <w:rPr>
      <w:color w:val="FFFFFF" w:themeColor="background1"/>
      <w:sz w:val="52"/>
    </w:rPr>
  </w:style>
  <w:style w:type="character" w:customStyle="1" w:styleId="BodyChar">
    <w:name w:val="Body Char"/>
    <w:basedOn w:val="DefaultParagraphFont"/>
    <w:link w:val="Body"/>
    <w:rsid w:val="007D7DDF"/>
    <w:rPr>
      <w:rFonts w:ascii="Tw Cen MT" w:hAnsi="Tw Cen MT" w:cstheme="minorHAnsi"/>
      <w:sz w:val="24"/>
      <w:szCs w:val="24"/>
    </w:rPr>
  </w:style>
  <w:style w:type="paragraph" w:customStyle="1" w:styleId="Date1">
    <w:name w:val="Date1"/>
    <w:basedOn w:val="Heading3"/>
    <w:link w:val="DATEChar"/>
    <w:qFormat/>
    <w:rsid w:val="00323400"/>
    <w:pPr>
      <w:spacing w:before="7200" w:after="0"/>
      <w:jc w:val="right"/>
    </w:pPr>
    <w:rPr>
      <w:color w:val="000000" w:themeColor="text1"/>
    </w:rPr>
  </w:style>
  <w:style w:type="character" w:customStyle="1" w:styleId="GreenboxsubheadChar">
    <w:name w:val="Green box sub head Char"/>
    <w:basedOn w:val="Heading1Char"/>
    <w:link w:val="Greenboxsubhead"/>
    <w:rsid w:val="00323400"/>
    <w:rPr>
      <w:rFonts w:ascii="Tw Cen MT Condensed" w:hAnsi="Tw Cen MT Condensed" w:cs="Arial"/>
      <w:bCs/>
      <w:color w:val="FFFFFF" w:themeColor="background1"/>
      <w:kern w:val="32"/>
      <w:sz w:val="52"/>
      <w:szCs w:val="32"/>
    </w:rPr>
  </w:style>
  <w:style w:type="character" w:customStyle="1" w:styleId="FooterChar">
    <w:name w:val="Footer Char"/>
    <w:basedOn w:val="DefaultParagraphFont"/>
    <w:link w:val="Footer"/>
    <w:uiPriority w:val="99"/>
    <w:rsid w:val="0019351C"/>
    <w:rPr>
      <w:rFonts w:ascii="Tw Cen MT Condensed" w:hAnsi="Tw Cen MT Condensed"/>
      <w:szCs w:val="24"/>
    </w:rPr>
  </w:style>
  <w:style w:type="character" w:customStyle="1" w:styleId="DATEChar">
    <w:name w:val="DATE Char"/>
    <w:basedOn w:val="Heading3Char"/>
    <w:link w:val="Date1"/>
    <w:rsid w:val="00323400"/>
    <w:rPr>
      <w:rFonts w:ascii="Tw Cen MT Condensed" w:hAnsi="Tw Cen MT Condensed" w:cs="Arial"/>
      <w:b/>
      <w:bCs/>
      <w:color w:val="000000" w:themeColor="text1"/>
      <w:sz w:val="28"/>
      <w:szCs w:val="26"/>
      <w:lang w:val="en-US" w:eastAsia="en-US" w:bidi="ar-SA"/>
    </w:rPr>
  </w:style>
  <w:style w:type="paragraph" w:customStyle="1" w:styleId="disclaimer">
    <w:name w:val="disclaimer"/>
    <w:basedOn w:val="EqualOpportunity"/>
    <w:link w:val="disclaimerChar"/>
    <w:qFormat/>
    <w:rsid w:val="007D7DDF"/>
    <w:pPr>
      <w:spacing w:before="6480"/>
    </w:pPr>
  </w:style>
  <w:style w:type="character" w:customStyle="1" w:styleId="EqualopportunitytextChar">
    <w:name w:val="Equal opportunity text Char"/>
    <w:basedOn w:val="DefaultParagraphFont"/>
    <w:link w:val="Equalopportunitytext"/>
    <w:rsid w:val="00131CFB"/>
    <w:rPr>
      <w:rFonts w:ascii="Tw Cen MT" w:hAnsi="Tw Cen MT" w:cs="Tw Cen MT"/>
      <w:i/>
      <w:iCs/>
      <w:color w:val="000000"/>
      <w:spacing w:val="-4"/>
      <w:sz w:val="21"/>
      <w:szCs w:val="21"/>
    </w:rPr>
  </w:style>
  <w:style w:type="character" w:customStyle="1" w:styleId="EqualOpportunityChar">
    <w:name w:val="Equal Opportunity Char"/>
    <w:basedOn w:val="EqualopportunitytextChar"/>
    <w:link w:val="EqualOpportunity"/>
    <w:rsid w:val="00131CFB"/>
    <w:rPr>
      <w:rFonts w:ascii="Tw Cen MT" w:hAnsi="Tw Cen MT" w:cs="Tw Cen MT"/>
      <w:i/>
      <w:iCs/>
      <w:color w:val="000000"/>
      <w:spacing w:val="-4"/>
      <w:sz w:val="18"/>
      <w:szCs w:val="21"/>
    </w:rPr>
  </w:style>
  <w:style w:type="character" w:customStyle="1" w:styleId="disclaimerChar">
    <w:name w:val="disclaimer Char"/>
    <w:basedOn w:val="EqualOpportunityChar"/>
    <w:link w:val="disclaimer"/>
    <w:rsid w:val="007D7DDF"/>
    <w:rPr>
      <w:rFonts w:ascii="Tw Cen MT" w:hAnsi="Tw Cen MT" w:cs="Tw Cen MT"/>
      <w:i/>
      <w:iCs/>
      <w:color w:val="000000"/>
      <w:spacing w:val="-4"/>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70279">
      <w:bodyDiv w:val="1"/>
      <w:marLeft w:val="0"/>
      <w:marRight w:val="0"/>
      <w:marTop w:val="0"/>
      <w:marBottom w:val="0"/>
      <w:divBdr>
        <w:top w:val="none" w:sz="0" w:space="0" w:color="auto"/>
        <w:left w:val="none" w:sz="0" w:space="0" w:color="auto"/>
        <w:bottom w:val="none" w:sz="0" w:space="0" w:color="auto"/>
        <w:right w:val="none" w:sz="0" w:space="0" w:color="auto"/>
      </w:divBdr>
    </w:div>
    <w:div w:id="677075641">
      <w:bodyDiv w:val="1"/>
      <w:marLeft w:val="0"/>
      <w:marRight w:val="0"/>
      <w:marTop w:val="0"/>
      <w:marBottom w:val="0"/>
      <w:divBdr>
        <w:top w:val="none" w:sz="0" w:space="0" w:color="auto"/>
        <w:left w:val="none" w:sz="0" w:space="0" w:color="auto"/>
        <w:bottom w:val="none" w:sz="0" w:space="0" w:color="auto"/>
        <w:right w:val="none" w:sz="0" w:space="0" w:color="auto"/>
      </w:divBdr>
    </w:div>
    <w:div w:id="882986073">
      <w:bodyDiv w:val="1"/>
      <w:marLeft w:val="0"/>
      <w:marRight w:val="0"/>
      <w:marTop w:val="0"/>
      <w:marBottom w:val="0"/>
      <w:divBdr>
        <w:top w:val="none" w:sz="0" w:space="0" w:color="auto"/>
        <w:left w:val="none" w:sz="0" w:space="0" w:color="auto"/>
        <w:bottom w:val="none" w:sz="0" w:space="0" w:color="auto"/>
        <w:right w:val="none" w:sz="0" w:space="0" w:color="auto"/>
      </w:divBdr>
    </w:div>
    <w:div w:id="1442451828">
      <w:bodyDiv w:val="1"/>
      <w:marLeft w:val="0"/>
      <w:marRight w:val="0"/>
      <w:marTop w:val="0"/>
      <w:marBottom w:val="0"/>
      <w:divBdr>
        <w:top w:val="none" w:sz="0" w:space="0" w:color="auto"/>
        <w:left w:val="none" w:sz="0" w:space="0" w:color="auto"/>
        <w:bottom w:val="none" w:sz="0" w:space="0" w:color="auto"/>
        <w:right w:val="none" w:sz="0" w:space="0" w:color="auto"/>
      </w:divBdr>
    </w:div>
    <w:div w:id="1540580890">
      <w:bodyDiv w:val="1"/>
      <w:marLeft w:val="0"/>
      <w:marRight w:val="0"/>
      <w:marTop w:val="0"/>
      <w:marBottom w:val="0"/>
      <w:divBdr>
        <w:top w:val="none" w:sz="0" w:space="0" w:color="auto"/>
        <w:left w:val="none" w:sz="0" w:space="0" w:color="auto"/>
        <w:bottom w:val="none" w:sz="0" w:space="0" w:color="auto"/>
        <w:right w:val="none" w:sz="0" w:space="0" w:color="auto"/>
      </w:divBdr>
    </w:div>
    <w:div w:id="1621910214">
      <w:bodyDiv w:val="1"/>
      <w:marLeft w:val="0"/>
      <w:marRight w:val="0"/>
      <w:marTop w:val="0"/>
      <w:marBottom w:val="0"/>
      <w:divBdr>
        <w:top w:val="none" w:sz="0" w:space="0" w:color="auto"/>
        <w:left w:val="none" w:sz="0" w:space="0" w:color="auto"/>
        <w:bottom w:val="none" w:sz="0" w:space="0" w:color="auto"/>
        <w:right w:val="none" w:sz="0" w:space="0" w:color="auto"/>
      </w:divBdr>
    </w:div>
    <w:div w:id="16573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5.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7.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1.wdp"/><Relationship Id="rId22" Type="http://schemas.openxmlformats.org/officeDocument/2006/relationships/chart" Target="charts/chart9.xm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oit-teaqfsemc02.som.w2k.state.me.us\DOL-Users\mark.dawson\home\My%20Documents\SLIP%20ON%20ICE%20REPORT\2012%20and%202013.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oit-teaqfsemc02.som.w2k.state.me.us\DOL-Users\mark.dawson\home\My%20Documents\SLIP%20ON%20ICE%20REPORT\Healthcare%20subse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oit-teaqfsemc11.som.w2k.state.me.us\DOL-Users\mark.dawson\home\My%20Documents\SLIP%20ON%20ICE%20REPORT\2012%20and%20201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oit-teaqfsemc02.som.w2k.state.me.us\DOL-Users\mark.dawson\home\My%20Documents\SLIP%20ON%20ICE%20REPORT\2012%20and%20201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oit-teaqfsemc11.som.w2k.state.me.us\DOL-Users\mark.dawson\home\My%20Documents\SLIP%20ON%20ICE%20REPORT\2012%20and%20201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oit-teaqfsemc02.som.w2k.state.me.us\DOL-Users\mark.dawson\home\My%20Documents\SLIP%20ON%20ICE%20REPORT\2012%20and%202013.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oit-teaqfsemc02.som.w2k.state.me.us\DOL-Users\mark.dawson\home\My%20Documents\SLIP%20ON%20ICE%20REPORT\2012%20and%20201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oit-teaqfsemc11.som.w2k.state.me.us\DOL-Users\mark.dawson\home\My%20Documents\SLIP%20ON%20ICE%20REPORT\2012%20and%202013.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oit-teaqfsemc02.som.w2k.state.me.us\DOL-Users\mark.dawson\home\My%20Documents\SLIP%20ON%20ICE%20REPORT\2012%20and%202013.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oit-teaqfsemc11.som.w2k.state.me.us\DOL-Users\mark.dawson\home\My%20Documents\SLIP%20ON%20ICE%20REPORT\Ice%20Falls%20Climatic%20Pattern%20Contro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7222222222222224E-2"/>
          <c:y val="0.18943110454772283"/>
          <c:w val="0.50166644794400705"/>
          <c:h val="0.77826338302535392"/>
        </c:manualLayout>
      </c:layout>
      <c:pie3DChart>
        <c:varyColors val="1"/>
        <c:ser>
          <c:idx val="0"/>
          <c:order val="0"/>
          <c:explosion val="25"/>
          <c:dLbls>
            <c:dLbl>
              <c:idx val="0"/>
              <c:layout>
                <c:manualLayout>
                  <c:x val="-7.7111188307343939E-2"/>
                  <c:y val="-5.3381849996023224E-2"/>
                </c:manualLayout>
              </c:layout>
              <c:showLegendKey val="0"/>
              <c:showVal val="1"/>
              <c:showCatName val="1"/>
              <c:showSerName val="0"/>
              <c:showPercent val="0"/>
              <c:showBubbleSize val="0"/>
            </c:dLbl>
            <c:dLbl>
              <c:idx val="1"/>
              <c:layout>
                <c:manualLayout>
                  <c:x val="5.9329936699089085E-2"/>
                  <c:y val="-2.4243617275113337E-2"/>
                </c:manualLayout>
              </c:layout>
              <c:tx>
                <c:rich>
                  <a:bodyPr/>
                  <a:lstStyle/>
                  <a:p>
                    <a:r>
                      <a:rPr lang="en-US" baseline="0">
                        <a:solidFill>
                          <a:schemeClr val="tx2">
                            <a:lumMod val="50000"/>
                          </a:schemeClr>
                        </a:solidFill>
                      </a:rPr>
                      <a:t>Buildings and Structures, 234</a:t>
                    </a:r>
                  </a:p>
                </c:rich>
              </c:tx>
              <c:showLegendKey val="0"/>
              <c:showVal val="1"/>
              <c:showCatName val="1"/>
              <c:showSerName val="0"/>
              <c:showPercent val="0"/>
              <c:showBubbleSize val="0"/>
            </c:dLbl>
            <c:dLbl>
              <c:idx val="2"/>
              <c:layout/>
              <c:tx>
                <c:rich>
                  <a:bodyPr/>
                  <a:lstStyle/>
                  <a:p>
                    <a:r>
                      <a:rPr lang="en-US" baseline="0">
                        <a:solidFill>
                          <a:schemeClr val="tx2">
                            <a:lumMod val="50000"/>
                          </a:schemeClr>
                        </a:solidFill>
                      </a:rPr>
                      <a:t>Vehicles and Trailers, 181</a:t>
                    </a:r>
                  </a:p>
                </c:rich>
              </c:tx>
              <c:showLegendKey val="0"/>
              <c:showVal val="1"/>
              <c:showCatName val="1"/>
              <c:showSerName val="0"/>
              <c:showPercent val="0"/>
              <c:showBubbleSize val="0"/>
            </c:dLbl>
            <c:dLbl>
              <c:idx val="3"/>
              <c:layout>
                <c:manualLayout>
                  <c:x val="0.13079333251981201"/>
                  <c:y val="-0.11232684456109653"/>
                </c:manualLayout>
              </c:layout>
              <c:tx>
                <c:rich>
                  <a:bodyPr/>
                  <a:lstStyle/>
                  <a:p>
                    <a:r>
                      <a:rPr lang="en-US" sz="800" b="1" i="0" baseline="0">
                        <a:solidFill>
                          <a:schemeClr val="tx2">
                            <a:lumMod val="50000"/>
                          </a:schemeClr>
                        </a:solidFill>
                      </a:rPr>
                      <a:t>Ice and Snow 1035</a:t>
                    </a:r>
                    <a:endParaRPr lang="en-US">
                      <a:solidFill>
                        <a:schemeClr val="bg1"/>
                      </a:solidFill>
                    </a:endParaRPr>
                  </a:p>
                </c:rich>
              </c:tx>
              <c:showLegendKey val="0"/>
              <c:showVal val="1"/>
              <c:showCatName val="1"/>
              <c:showSerName val="0"/>
              <c:showPercent val="0"/>
              <c:showBubbleSize val="0"/>
            </c:dLbl>
            <c:txPr>
              <a:bodyPr/>
              <a:lstStyle/>
              <a:p>
                <a:pPr>
                  <a:defRPr sz="800" b="1" i="0" baseline="0">
                    <a:solidFill>
                      <a:schemeClr val="tx2">
                        <a:lumMod val="50000"/>
                      </a:schemeClr>
                    </a:solidFill>
                  </a:defRPr>
                </a:pPr>
                <a:endParaRPr lang="en-US"/>
              </a:p>
            </c:txPr>
            <c:showLegendKey val="0"/>
            <c:showVal val="1"/>
            <c:showCatName val="1"/>
            <c:showSerName val="0"/>
            <c:showPercent val="0"/>
            <c:showBubbleSize val="0"/>
            <c:showLeaderLines val="1"/>
          </c:dLbls>
          <c:cat>
            <c:strRef>
              <c:f>'Falls Chart'!$B$5:$B$8</c:f>
              <c:strCache>
                <c:ptCount val="4"/>
                <c:pt idx="0">
                  <c:v>Ladders</c:v>
                </c:pt>
                <c:pt idx="1">
                  <c:v>Buildings and Structures</c:v>
                </c:pt>
                <c:pt idx="2">
                  <c:v>Vehicles and Trailers</c:v>
                </c:pt>
                <c:pt idx="3">
                  <c:v>Ice and Snow</c:v>
                </c:pt>
              </c:strCache>
            </c:strRef>
          </c:cat>
          <c:val>
            <c:numRef>
              <c:f>'Falls Chart'!$C$5:$C$8</c:f>
              <c:numCache>
                <c:formatCode>General</c:formatCode>
                <c:ptCount val="4"/>
                <c:pt idx="0">
                  <c:v>174</c:v>
                </c:pt>
                <c:pt idx="1">
                  <c:v>234</c:v>
                </c:pt>
                <c:pt idx="2">
                  <c:v>181</c:v>
                </c:pt>
                <c:pt idx="3">
                  <c:v>1035</c:v>
                </c:pt>
              </c:numCache>
            </c:numRef>
          </c:val>
        </c:ser>
        <c:dLbls>
          <c:showLegendKey val="0"/>
          <c:showVal val="0"/>
          <c:showCatName val="0"/>
          <c:showSerName val="0"/>
          <c:showPercent val="0"/>
          <c:showBubbleSize val="0"/>
          <c:showLeaderLines val="1"/>
        </c:dLbls>
      </c:pie3DChart>
    </c:plotArea>
    <c:plotVisOnly val="1"/>
    <c:dispBlanksAs val="gap"/>
    <c:showDLblsOverMax val="0"/>
  </c:chart>
  <c:spPr>
    <a:solidFill>
      <a:schemeClr val="tx2">
        <a:lumMod val="20000"/>
        <a:lumOff val="80000"/>
      </a:schemeClr>
    </a:solidFill>
    <a:ln>
      <a:noFill/>
    </a:ln>
    <a:effectLst>
      <a:outerShdw blurRad="50800" dist="38100" dir="2700000" algn="tl" rotWithShape="0">
        <a:prstClr val="black">
          <a:alpha val="40000"/>
        </a:prstClr>
      </a:outerShdw>
    </a:effectLst>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3930514274766936"/>
          <c:y val="0.13518342274309939"/>
          <c:w val="0.73566555395226152"/>
          <c:h val="0.66206475053963099"/>
        </c:manualLayout>
      </c:layout>
      <c:bar3DChart>
        <c:barDir val="col"/>
        <c:grouping val="standard"/>
        <c:varyColors val="0"/>
        <c:ser>
          <c:idx val="1"/>
          <c:order val="0"/>
          <c:tx>
            <c:strRef>
              <c:f>Times!$D$8</c:f>
              <c:strCache>
                <c:ptCount val="1"/>
                <c:pt idx="0">
                  <c:v>Healthcare</c:v>
                </c:pt>
              </c:strCache>
            </c:strRef>
          </c:tx>
          <c:invertIfNegative val="0"/>
          <c:cat>
            <c:strRef>
              <c:f>Times!$C$9:$C$16</c:f>
              <c:strCache>
                <c:ptCount val="8"/>
                <c:pt idx="0">
                  <c:v>12 am - 3 am</c:v>
                </c:pt>
                <c:pt idx="1">
                  <c:v>3am - 6 am</c:v>
                </c:pt>
                <c:pt idx="2">
                  <c:v>6 am - 9 am</c:v>
                </c:pt>
                <c:pt idx="3">
                  <c:v>9 am - 12 pm</c:v>
                </c:pt>
                <c:pt idx="4">
                  <c:v>12 pm - 3 pm</c:v>
                </c:pt>
                <c:pt idx="5">
                  <c:v>3 pm - 6 pm</c:v>
                </c:pt>
                <c:pt idx="6">
                  <c:v>6 pm - 9 pm</c:v>
                </c:pt>
                <c:pt idx="7">
                  <c:v>9 pm - 12 am</c:v>
                </c:pt>
              </c:strCache>
            </c:strRef>
          </c:cat>
          <c:val>
            <c:numRef>
              <c:f>Times!$D$9:$D$16</c:f>
              <c:numCache>
                <c:formatCode>0</c:formatCode>
                <c:ptCount val="8"/>
                <c:pt idx="0">
                  <c:v>4.296875</c:v>
                </c:pt>
                <c:pt idx="1">
                  <c:v>4.296875</c:v>
                </c:pt>
                <c:pt idx="2">
                  <c:v>29.296875</c:v>
                </c:pt>
                <c:pt idx="3">
                  <c:v>20.703125</c:v>
                </c:pt>
                <c:pt idx="4">
                  <c:v>16.015625</c:v>
                </c:pt>
                <c:pt idx="5">
                  <c:v>12.109375</c:v>
                </c:pt>
                <c:pt idx="6">
                  <c:v>8.203125</c:v>
                </c:pt>
                <c:pt idx="7">
                  <c:v>5.078125</c:v>
                </c:pt>
              </c:numCache>
            </c:numRef>
          </c:val>
        </c:ser>
        <c:ser>
          <c:idx val="0"/>
          <c:order val="1"/>
          <c:tx>
            <c:strRef>
              <c:f>Times!$E$8</c:f>
              <c:strCache>
                <c:ptCount val="1"/>
                <c:pt idx="0">
                  <c:v>All Industry</c:v>
                </c:pt>
              </c:strCache>
            </c:strRef>
          </c:tx>
          <c:invertIfNegative val="0"/>
          <c:cat>
            <c:strRef>
              <c:f>Times!$C$9:$C$16</c:f>
              <c:strCache>
                <c:ptCount val="8"/>
                <c:pt idx="0">
                  <c:v>12 am - 3 am</c:v>
                </c:pt>
                <c:pt idx="1">
                  <c:v>3am - 6 am</c:v>
                </c:pt>
                <c:pt idx="2">
                  <c:v>6 am - 9 am</c:v>
                </c:pt>
                <c:pt idx="3">
                  <c:v>9 am - 12 pm</c:v>
                </c:pt>
                <c:pt idx="4">
                  <c:v>12 pm - 3 pm</c:v>
                </c:pt>
                <c:pt idx="5">
                  <c:v>3 pm - 6 pm</c:v>
                </c:pt>
                <c:pt idx="6">
                  <c:v>6 pm - 9 pm</c:v>
                </c:pt>
                <c:pt idx="7">
                  <c:v>9 pm - 12 am</c:v>
                </c:pt>
              </c:strCache>
            </c:strRef>
          </c:cat>
          <c:val>
            <c:numRef>
              <c:f>Times!$E$9:$E$16</c:f>
              <c:numCache>
                <c:formatCode>0</c:formatCode>
                <c:ptCount val="8"/>
                <c:pt idx="0">
                  <c:v>4.7342995169082132</c:v>
                </c:pt>
                <c:pt idx="1">
                  <c:v>4.057971014492753</c:v>
                </c:pt>
                <c:pt idx="2">
                  <c:v>28.792270531400966</c:v>
                </c:pt>
                <c:pt idx="3">
                  <c:v>21.159420289855071</c:v>
                </c:pt>
                <c:pt idx="4">
                  <c:v>19.516908212560384</c:v>
                </c:pt>
                <c:pt idx="5">
                  <c:v>12.753623188405797</c:v>
                </c:pt>
                <c:pt idx="6">
                  <c:v>5.6038647342995169</c:v>
                </c:pt>
                <c:pt idx="7">
                  <c:v>3.3816425120772946</c:v>
                </c:pt>
              </c:numCache>
            </c:numRef>
          </c:val>
        </c:ser>
        <c:dLbls>
          <c:showLegendKey val="0"/>
          <c:showVal val="0"/>
          <c:showCatName val="0"/>
          <c:showSerName val="0"/>
          <c:showPercent val="0"/>
          <c:showBubbleSize val="0"/>
        </c:dLbls>
        <c:gapWidth val="150"/>
        <c:shape val="box"/>
        <c:axId val="54291840"/>
        <c:axId val="54310016"/>
        <c:axId val="43097600"/>
      </c:bar3DChart>
      <c:catAx>
        <c:axId val="54291840"/>
        <c:scaling>
          <c:orientation val="minMax"/>
        </c:scaling>
        <c:delete val="0"/>
        <c:axPos val="b"/>
        <c:majorTickMark val="out"/>
        <c:minorTickMark val="none"/>
        <c:tickLblPos val="nextTo"/>
        <c:txPr>
          <a:bodyPr rot="-5400000" vert="horz" anchor="ctr" anchorCtr="0"/>
          <a:lstStyle/>
          <a:p>
            <a:pPr>
              <a:defRPr baseline="0">
                <a:solidFill>
                  <a:schemeClr val="tx2">
                    <a:lumMod val="50000"/>
                  </a:schemeClr>
                </a:solidFill>
              </a:defRPr>
            </a:pPr>
            <a:endParaRPr lang="en-US"/>
          </a:p>
        </c:txPr>
        <c:crossAx val="54310016"/>
        <c:crosses val="autoZero"/>
        <c:auto val="1"/>
        <c:lblAlgn val="ctr"/>
        <c:lblOffset val="100"/>
        <c:noMultiLvlLbl val="0"/>
      </c:catAx>
      <c:valAx>
        <c:axId val="54310016"/>
        <c:scaling>
          <c:orientation val="minMax"/>
        </c:scaling>
        <c:delete val="0"/>
        <c:axPos val="l"/>
        <c:majorGridlines/>
        <c:numFmt formatCode="0" sourceLinked="1"/>
        <c:majorTickMark val="out"/>
        <c:minorTickMark val="none"/>
        <c:tickLblPos val="nextTo"/>
        <c:txPr>
          <a:bodyPr/>
          <a:lstStyle/>
          <a:p>
            <a:pPr>
              <a:defRPr baseline="0">
                <a:solidFill>
                  <a:schemeClr val="tx2">
                    <a:lumMod val="50000"/>
                  </a:schemeClr>
                </a:solidFill>
              </a:defRPr>
            </a:pPr>
            <a:endParaRPr lang="en-US"/>
          </a:p>
        </c:txPr>
        <c:crossAx val="54291840"/>
        <c:crosses val="autoZero"/>
        <c:crossBetween val="between"/>
      </c:valAx>
      <c:serAx>
        <c:axId val="43097600"/>
        <c:scaling>
          <c:orientation val="minMax"/>
        </c:scaling>
        <c:delete val="1"/>
        <c:axPos val="b"/>
        <c:majorTickMark val="out"/>
        <c:minorTickMark val="none"/>
        <c:tickLblPos val="nextTo"/>
        <c:crossAx val="54310016"/>
        <c:crosses val="autoZero"/>
      </c:serAx>
    </c:plotArea>
    <c:legend>
      <c:legendPos val="r"/>
      <c:layout>
        <c:manualLayout>
          <c:xMode val="edge"/>
          <c:yMode val="edge"/>
          <c:x val="0.82016989255501127"/>
          <c:y val="0.45463745990803939"/>
          <c:w val="0.15740576342246493"/>
          <c:h val="0.11894697178639548"/>
        </c:manualLayout>
      </c:layout>
      <c:overlay val="0"/>
      <c:txPr>
        <a:bodyPr/>
        <a:lstStyle/>
        <a:p>
          <a:pPr>
            <a:defRPr baseline="0">
              <a:solidFill>
                <a:schemeClr val="tx2">
                  <a:lumMod val="50000"/>
                </a:schemeClr>
              </a:solidFill>
            </a:defRPr>
          </a:pPr>
          <a:endParaRPr lang="en-US"/>
        </a:p>
      </c:txPr>
    </c:legend>
    <c:plotVisOnly val="1"/>
    <c:dispBlanksAs val="gap"/>
    <c:showDLblsOverMax val="0"/>
  </c:chart>
  <c:spPr>
    <a:effectLst>
      <a:outerShdw blurRad="50800" dist="38100" dir="2700000" algn="tl" rotWithShape="0">
        <a:prstClr val="black">
          <a:alpha val="40000"/>
        </a:prstClr>
      </a:outerShdw>
    </a:effec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480519508482273E-2"/>
          <c:y val="0.15573786478271243"/>
          <c:w val="0.92274920926106552"/>
          <c:h val="0.72112311059931733"/>
        </c:manualLayout>
      </c:layout>
      <c:barChart>
        <c:barDir val="bar"/>
        <c:grouping val="clustered"/>
        <c:varyColors val="1"/>
        <c:ser>
          <c:idx val="0"/>
          <c:order val="0"/>
          <c:invertIfNegative val="0"/>
          <c:cat>
            <c:strRef>
              <c:f>'Occupation II'!$A$2:$A$19</c:f>
              <c:strCache>
                <c:ptCount val="18"/>
                <c:pt idx="0">
                  <c:v>Management</c:v>
                </c:pt>
                <c:pt idx="1">
                  <c:v>Business and Financial</c:v>
                </c:pt>
                <c:pt idx="2">
                  <c:v>Computer, Math, Engineering and Sciences</c:v>
                </c:pt>
                <c:pt idx="3">
                  <c:v>Community and Social Services</c:v>
                </c:pt>
                <c:pt idx="4">
                  <c:v>Education, Training , Library and Arts</c:v>
                </c:pt>
                <c:pt idx="5">
                  <c:v>Health Care Practice and Technology</c:v>
                </c:pt>
                <c:pt idx="6">
                  <c:v>Health Care Support</c:v>
                </c:pt>
                <c:pt idx="7">
                  <c:v>Protective Services</c:v>
                </c:pt>
                <c:pt idx="8">
                  <c:v>Food Preparation and Service</c:v>
                </c:pt>
                <c:pt idx="9">
                  <c:v>Building and Grounds Cleaning and Maintenance</c:v>
                </c:pt>
                <c:pt idx="10">
                  <c:v>Personal Care and Service</c:v>
                </c:pt>
                <c:pt idx="11">
                  <c:v>Sales and Related</c:v>
                </c:pt>
                <c:pt idx="12">
                  <c:v>Office and Administrative Support</c:v>
                </c:pt>
                <c:pt idx="13">
                  <c:v>Construction and Extraction</c:v>
                </c:pt>
                <c:pt idx="14">
                  <c:v>Installation, Maintenance and Repair</c:v>
                </c:pt>
                <c:pt idx="15">
                  <c:v>Production</c:v>
                </c:pt>
                <c:pt idx="16">
                  <c:v>Transportation and Material Moving</c:v>
                </c:pt>
                <c:pt idx="17">
                  <c:v>Other</c:v>
                </c:pt>
              </c:strCache>
            </c:strRef>
          </c:cat>
          <c:val>
            <c:numRef>
              <c:f>'Occupation II'!$B$2:$B$19</c:f>
              <c:numCache>
                <c:formatCode>General</c:formatCode>
                <c:ptCount val="18"/>
                <c:pt idx="0">
                  <c:v>47</c:v>
                </c:pt>
                <c:pt idx="1">
                  <c:v>12</c:v>
                </c:pt>
                <c:pt idx="2">
                  <c:v>18</c:v>
                </c:pt>
                <c:pt idx="3">
                  <c:v>37</c:v>
                </c:pt>
                <c:pt idx="4">
                  <c:v>70</c:v>
                </c:pt>
                <c:pt idx="5">
                  <c:v>65</c:v>
                </c:pt>
                <c:pt idx="6">
                  <c:v>58</c:v>
                </c:pt>
                <c:pt idx="7">
                  <c:v>59</c:v>
                </c:pt>
                <c:pt idx="8">
                  <c:v>45</c:v>
                </c:pt>
                <c:pt idx="9">
                  <c:v>60</c:v>
                </c:pt>
                <c:pt idx="10">
                  <c:v>58</c:v>
                </c:pt>
                <c:pt idx="11">
                  <c:v>49</c:v>
                </c:pt>
                <c:pt idx="12">
                  <c:v>110</c:v>
                </c:pt>
                <c:pt idx="13">
                  <c:v>46</c:v>
                </c:pt>
                <c:pt idx="14">
                  <c:v>70</c:v>
                </c:pt>
                <c:pt idx="15">
                  <c:v>47</c:v>
                </c:pt>
                <c:pt idx="16">
                  <c:v>158</c:v>
                </c:pt>
                <c:pt idx="17">
                  <c:v>26</c:v>
                </c:pt>
              </c:numCache>
            </c:numRef>
          </c:val>
        </c:ser>
        <c:dLbls>
          <c:showLegendKey val="0"/>
          <c:showVal val="0"/>
          <c:showCatName val="0"/>
          <c:showSerName val="0"/>
          <c:showPercent val="0"/>
          <c:showBubbleSize val="0"/>
        </c:dLbls>
        <c:gapWidth val="150"/>
        <c:axId val="34864128"/>
        <c:axId val="43135744"/>
      </c:barChart>
      <c:catAx>
        <c:axId val="34864128"/>
        <c:scaling>
          <c:orientation val="minMax"/>
        </c:scaling>
        <c:delete val="0"/>
        <c:axPos val="l"/>
        <c:majorTickMark val="out"/>
        <c:minorTickMark val="none"/>
        <c:tickLblPos val="nextTo"/>
        <c:txPr>
          <a:bodyPr rot="0" vert="horz" anchor="t" anchorCtr="0"/>
          <a:lstStyle/>
          <a:p>
            <a:pPr>
              <a:defRPr/>
            </a:pPr>
            <a:endParaRPr lang="en-US"/>
          </a:p>
        </c:txPr>
        <c:crossAx val="43135744"/>
        <c:crosses val="autoZero"/>
        <c:auto val="0"/>
        <c:lblAlgn val="ctr"/>
        <c:lblOffset val="100"/>
        <c:noMultiLvlLbl val="0"/>
      </c:catAx>
      <c:valAx>
        <c:axId val="43135744"/>
        <c:scaling>
          <c:orientation val="minMax"/>
        </c:scaling>
        <c:delete val="0"/>
        <c:axPos val="b"/>
        <c:majorGridlines/>
        <c:numFmt formatCode="General" sourceLinked="1"/>
        <c:majorTickMark val="out"/>
        <c:minorTickMark val="none"/>
        <c:tickLblPos val="nextTo"/>
        <c:crossAx val="34864128"/>
        <c:crosses val="autoZero"/>
        <c:crossBetween val="between"/>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8261521036040339"/>
          <c:y val="0.20373366208011878"/>
          <c:w val="0.48598522660301824"/>
          <c:h val="0.53637079455977099"/>
        </c:manualLayout>
      </c:layout>
      <c:barChart>
        <c:barDir val="bar"/>
        <c:grouping val="clustered"/>
        <c:varyColors val="1"/>
        <c:ser>
          <c:idx val="0"/>
          <c:order val="0"/>
          <c:invertIfNegative val="0"/>
          <c:cat>
            <c:strRef>
              <c:f>'NAICS II'!$A$3:$A$13</c:f>
              <c:strCache>
                <c:ptCount val="11"/>
                <c:pt idx="0">
                  <c:v>Agriculture, Forestry, Fishing and Hunting</c:v>
                </c:pt>
                <c:pt idx="1">
                  <c:v>Utilities and Construction</c:v>
                </c:pt>
                <c:pt idx="2">
                  <c:v>Manufacturing</c:v>
                </c:pt>
                <c:pt idx="3">
                  <c:v>Wholesale and Retail Trade</c:v>
                </c:pt>
                <c:pt idx="4">
                  <c:v>Transportation and Warehousing</c:v>
                </c:pt>
                <c:pt idx="5">
                  <c:v>Information, Finance Administration and Professional Services</c:v>
                </c:pt>
                <c:pt idx="6">
                  <c:v>Educational Services</c:v>
                </c:pt>
                <c:pt idx="7">
                  <c:v>Health Care and Social Assistance</c:v>
                </c:pt>
                <c:pt idx="8">
                  <c:v>Arts, Accommodation, Food Services and Other Services</c:v>
                </c:pt>
                <c:pt idx="9">
                  <c:v>Public Administration</c:v>
                </c:pt>
                <c:pt idx="10">
                  <c:v>Undetermined</c:v>
                </c:pt>
              </c:strCache>
            </c:strRef>
          </c:cat>
          <c:val>
            <c:numRef>
              <c:f>'NAICS II'!$B$3:$B$13</c:f>
              <c:numCache>
                <c:formatCode>General</c:formatCode>
                <c:ptCount val="11"/>
                <c:pt idx="0">
                  <c:v>10</c:v>
                </c:pt>
                <c:pt idx="1">
                  <c:v>67</c:v>
                </c:pt>
                <c:pt idx="2">
                  <c:v>57</c:v>
                </c:pt>
                <c:pt idx="3">
                  <c:v>122</c:v>
                </c:pt>
                <c:pt idx="4">
                  <c:v>60</c:v>
                </c:pt>
                <c:pt idx="5">
                  <c:v>122</c:v>
                </c:pt>
                <c:pt idx="6">
                  <c:v>115</c:v>
                </c:pt>
                <c:pt idx="7">
                  <c:v>256</c:v>
                </c:pt>
                <c:pt idx="8">
                  <c:v>76</c:v>
                </c:pt>
                <c:pt idx="9">
                  <c:v>129</c:v>
                </c:pt>
                <c:pt idx="10">
                  <c:v>21</c:v>
                </c:pt>
              </c:numCache>
            </c:numRef>
          </c:val>
        </c:ser>
        <c:dLbls>
          <c:showLegendKey val="0"/>
          <c:showVal val="0"/>
          <c:showCatName val="0"/>
          <c:showSerName val="0"/>
          <c:showPercent val="0"/>
          <c:showBubbleSize val="0"/>
        </c:dLbls>
        <c:gapWidth val="150"/>
        <c:axId val="43172608"/>
        <c:axId val="43174144"/>
      </c:barChart>
      <c:catAx>
        <c:axId val="43172608"/>
        <c:scaling>
          <c:orientation val="minMax"/>
        </c:scaling>
        <c:delete val="0"/>
        <c:axPos val="l"/>
        <c:majorTickMark val="out"/>
        <c:minorTickMark val="none"/>
        <c:tickLblPos val="nextTo"/>
        <c:txPr>
          <a:bodyPr/>
          <a:lstStyle/>
          <a:p>
            <a:pPr>
              <a:defRPr baseline="0">
                <a:solidFill>
                  <a:schemeClr val="tx2">
                    <a:lumMod val="50000"/>
                  </a:schemeClr>
                </a:solidFill>
              </a:defRPr>
            </a:pPr>
            <a:endParaRPr lang="en-US"/>
          </a:p>
        </c:txPr>
        <c:crossAx val="43174144"/>
        <c:crosses val="autoZero"/>
        <c:auto val="1"/>
        <c:lblAlgn val="ctr"/>
        <c:lblOffset val="100"/>
        <c:noMultiLvlLbl val="0"/>
      </c:catAx>
      <c:valAx>
        <c:axId val="43174144"/>
        <c:scaling>
          <c:orientation val="minMax"/>
        </c:scaling>
        <c:delete val="0"/>
        <c:axPos val="b"/>
        <c:majorGridlines/>
        <c:numFmt formatCode="General" sourceLinked="1"/>
        <c:majorTickMark val="out"/>
        <c:minorTickMark val="none"/>
        <c:tickLblPos val="nextTo"/>
        <c:txPr>
          <a:bodyPr/>
          <a:lstStyle/>
          <a:p>
            <a:pPr>
              <a:defRPr baseline="0">
                <a:solidFill>
                  <a:schemeClr val="tx2">
                    <a:lumMod val="50000"/>
                  </a:schemeClr>
                </a:solidFill>
              </a:defRPr>
            </a:pPr>
            <a:endParaRPr lang="en-US"/>
          </a:p>
        </c:txPr>
        <c:crossAx val="43172608"/>
        <c:crosses val="autoZero"/>
        <c:crossBetween val="between"/>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8077972263301757"/>
          <c:y val="0.30973904124053458"/>
          <c:w val="0.55642549051997869"/>
          <c:h val="0.45858052831115409"/>
        </c:manualLayout>
      </c:layout>
      <c:barChart>
        <c:barDir val="bar"/>
        <c:grouping val="clustered"/>
        <c:varyColors val="1"/>
        <c:ser>
          <c:idx val="0"/>
          <c:order val="0"/>
          <c:invertIfNegative val="0"/>
          <c:cat>
            <c:strRef>
              <c:f>'Surface Summary'!$B$4:$B$10</c:f>
              <c:strCache>
                <c:ptCount val="7"/>
                <c:pt idx="0">
                  <c:v>Parking Lots</c:v>
                </c:pt>
                <c:pt idx="1">
                  <c:v>Ground Surfaces</c:v>
                </c:pt>
                <c:pt idx="2">
                  <c:v>Floors</c:v>
                </c:pt>
                <c:pt idx="3">
                  <c:v>Sidewalks and Paths</c:v>
                </c:pt>
                <c:pt idx="4">
                  <c:v>Other Structures and Surfaces </c:v>
                </c:pt>
                <c:pt idx="5">
                  <c:v>Roads, Streets and Driveways</c:v>
                </c:pt>
                <c:pt idx="6">
                  <c:v>Stairs, Steps</c:v>
                </c:pt>
              </c:strCache>
            </c:strRef>
          </c:cat>
          <c:val>
            <c:numRef>
              <c:f>'Surface Summary'!$C$4:$C$10</c:f>
              <c:numCache>
                <c:formatCode>General</c:formatCode>
                <c:ptCount val="7"/>
                <c:pt idx="0">
                  <c:v>248</c:v>
                </c:pt>
                <c:pt idx="1">
                  <c:v>170</c:v>
                </c:pt>
                <c:pt idx="2">
                  <c:v>69</c:v>
                </c:pt>
                <c:pt idx="3">
                  <c:v>68</c:v>
                </c:pt>
                <c:pt idx="4">
                  <c:v>67</c:v>
                </c:pt>
                <c:pt idx="5">
                  <c:v>53</c:v>
                </c:pt>
                <c:pt idx="6">
                  <c:v>45</c:v>
                </c:pt>
              </c:numCache>
            </c:numRef>
          </c:val>
        </c:ser>
        <c:dLbls>
          <c:showLegendKey val="0"/>
          <c:showVal val="0"/>
          <c:showCatName val="0"/>
          <c:showSerName val="0"/>
          <c:showPercent val="0"/>
          <c:showBubbleSize val="0"/>
        </c:dLbls>
        <c:gapWidth val="150"/>
        <c:axId val="42940288"/>
        <c:axId val="42941824"/>
      </c:barChart>
      <c:catAx>
        <c:axId val="42940288"/>
        <c:scaling>
          <c:orientation val="minMax"/>
        </c:scaling>
        <c:delete val="0"/>
        <c:axPos val="l"/>
        <c:majorTickMark val="out"/>
        <c:minorTickMark val="none"/>
        <c:tickLblPos val="nextTo"/>
        <c:crossAx val="42941824"/>
        <c:crosses val="autoZero"/>
        <c:auto val="1"/>
        <c:lblAlgn val="ctr"/>
        <c:lblOffset val="100"/>
        <c:noMultiLvlLbl val="0"/>
      </c:catAx>
      <c:valAx>
        <c:axId val="42941824"/>
        <c:scaling>
          <c:orientation val="minMax"/>
        </c:scaling>
        <c:delete val="0"/>
        <c:axPos val="b"/>
        <c:majorGridlines/>
        <c:numFmt formatCode="General" sourceLinked="1"/>
        <c:majorTickMark val="out"/>
        <c:minorTickMark val="none"/>
        <c:tickLblPos val="nextTo"/>
        <c:crossAx val="42940288"/>
        <c:crosses val="autoZero"/>
        <c:crossBetween val="between"/>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32131853228814106"/>
          <c:y val="0.18868326594310847"/>
          <c:w val="0.41483494964020368"/>
          <c:h val="0.65559168617436336"/>
        </c:manualLayout>
      </c:layout>
      <c:pie3DChart>
        <c:varyColors val="1"/>
        <c:ser>
          <c:idx val="0"/>
          <c:order val="0"/>
          <c:explosion val="25"/>
          <c:dLbls>
            <c:dLbl>
              <c:idx val="0"/>
              <c:layout>
                <c:manualLayout>
                  <c:x val="4.1588997803845951E-2"/>
                  <c:y val="-6.2395484878115727E-2"/>
                </c:manualLayout>
              </c:layout>
              <c:showLegendKey val="0"/>
              <c:showVal val="1"/>
              <c:showCatName val="1"/>
              <c:showSerName val="0"/>
              <c:showPercent val="0"/>
              <c:showBubbleSize val="0"/>
            </c:dLbl>
            <c:dLbl>
              <c:idx val="1"/>
              <c:layout>
                <c:manualLayout>
                  <c:x val="-0.16704931928052424"/>
                  <c:y val="-2.7855572107540544E-2"/>
                </c:manualLayout>
              </c:layout>
              <c:showLegendKey val="0"/>
              <c:showVal val="1"/>
              <c:showCatName val="1"/>
              <c:showSerName val="0"/>
              <c:showPercent val="0"/>
              <c:showBubbleSize val="0"/>
            </c:dLbl>
            <c:dLbl>
              <c:idx val="2"/>
              <c:layout>
                <c:manualLayout>
                  <c:x val="-0.11011154855643045"/>
                  <c:y val="-3.3123220340163052E-2"/>
                </c:manualLayout>
              </c:layout>
              <c:showLegendKey val="0"/>
              <c:showVal val="1"/>
              <c:showCatName val="1"/>
              <c:showSerName val="0"/>
              <c:showPercent val="0"/>
              <c:showBubbleSize val="0"/>
            </c:dLbl>
            <c:txPr>
              <a:bodyPr/>
              <a:lstStyle/>
              <a:p>
                <a:pPr>
                  <a:defRPr baseline="0">
                    <a:solidFill>
                      <a:schemeClr val="tx2">
                        <a:lumMod val="50000"/>
                      </a:schemeClr>
                    </a:solidFill>
                  </a:defRPr>
                </a:pPr>
                <a:endParaRPr lang="en-US"/>
              </a:p>
            </c:txPr>
            <c:showLegendKey val="0"/>
            <c:showVal val="1"/>
            <c:showCatName val="1"/>
            <c:showSerName val="0"/>
            <c:showPercent val="0"/>
            <c:showBubbleSize val="0"/>
            <c:showLeaderLines val="1"/>
          </c:dLbls>
          <c:cat>
            <c:strRef>
              <c:f>Event!$D$1:$D$3</c:f>
              <c:strCache>
                <c:ptCount val="3"/>
                <c:pt idx="0">
                  <c:v>Going to or from vehicles on the way to or from worksites</c:v>
                </c:pt>
                <c:pt idx="1">
                  <c:v>Walking during work  or other unspecified work -related activity</c:v>
                </c:pt>
                <c:pt idx="2">
                  <c:v>Performing specific work tasks</c:v>
                </c:pt>
              </c:strCache>
            </c:strRef>
          </c:cat>
          <c:val>
            <c:numRef>
              <c:f>Event!$E$1:$E$3</c:f>
              <c:numCache>
                <c:formatCode>General</c:formatCode>
                <c:ptCount val="3"/>
                <c:pt idx="0">
                  <c:v>382</c:v>
                </c:pt>
                <c:pt idx="1">
                  <c:v>373</c:v>
                </c:pt>
                <c:pt idx="2">
                  <c:v>280</c:v>
                </c:pt>
              </c:numCache>
            </c:numRef>
          </c:val>
        </c:ser>
        <c:dLbls>
          <c:showLegendKey val="0"/>
          <c:showVal val="0"/>
          <c:showCatName val="0"/>
          <c:showSerName val="0"/>
          <c:showPercent val="0"/>
          <c:showBubbleSize val="0"/>
          <c:showLeaderLines val="1"/>
        </c:dLbls>
      </c:pie3DChart>
    </c:plotArea>
    <c:plotVisOnly val="1"/>
    <c:dispBlanksAs val="gap"/>
    <c:showDLblsOverMax val="0"/>
  </c:chart>
  <c:spPr>
    <a:solidFill>
      <a:schemeClr val="tx2">
        <a:lumMod val="20000"/>
        <a:lumOff val="80000"/>
      </a:schemeClr>
    </a:solidFill>
    <a:ln>
      <a:noFill/>
    </a:ln>
    <a:effectLst>
      <a:outerShdw blurRad="50800" dist="38100" dir="2700000" algn="tl" rotWithShape="0">
        <a:prstClr val="black">
          <a:alpha val="40000"/>
        </a:prstClr>
      </a:outerShdw>
    </a:effectLst>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02778424400594"/>
          <c:y val="0.14965435363658919"/>
          <c:w val="0.84510874940753"/>
          <c:h val="0.57592284909340463"/>
        </c:manualLayout>
      </c:layout>
      <c:barChart>
        <c:barDir val="col"/>
        <c:grouping val="clustered"/>
        <c:varyColors val="1"/>
        <c:ser>
          <c:idx val="0"/>
          <c:order val="0"/>
          <c:invertIfNegative val="0"/>
          <c:cat>
            <c:strRef>
              <c:f>'Nature Graph'!$A$4:$A$10</c:f>
              <c:strCache>
                <c:ptCount val="7"/>
                <c:pt idx="0">
                  <c:v>Sprains, Strains and Tears</c:v>
                </c:pt>
                <c:pt idx="1">
                  <c:v>Bruises, Contusions, Cuts, Abrasions, Blisters and Punctures</c:v>
                </c:pt>
                <c:pt idx="2">
                  <c:v>Fractures</c:v>
                </c:pt>
                <c:pt idx="3">
                  <c:v>Traumatic Injuries to Bones Nerves and Spinal Cord (Non-Fracture)</c:v>
                </c:pt>
                <c:pt idx="4">
                  <c:v>Pain, Swelling, Inflammation or General Symptoms</c:v>
                </c:pt>
                <c:pt idx="5">
                  <c:v>Concussion/Loss of Consciousness</c:v>
                </c:pt>
                <c:pt idx="6">
                  <c:v>Dislocations and Traumatic Injuries to Tendons Ligaments or Joints</c:v>
                </c:pt>
              </c:strCache>
            </c:strRef>
          </c:cat>
          <c:val>
            <c:numRef>
              <c:f>'Nature Graph'!$B$4:$B$10</c:f>
              <c:numCache>
                <c:formatCode>General</c:formatCode>
                <c:ptCount val="7"/>
                <c:pt idx="0">
                  <c:v>488</c:v>
                </c:pt>
                <c:pt idx="1">
                  <c:v>231</c:v>
                </c:pt>
                <c:pt idx="2">
                  <c:v>129</c:v>
                </c:pt>
                <c:pt idx="3">
                  <c:v>69</c:v>
                </c:pt>
                <c:pt idx="4">
                  <c:v>64</c:v>
                </c:pt>
                <c:pt idx="5">
                  <c:v>48</c:v>
                </c:pt>
                <c:pt idx="6">
                  <c:v>6</c:v>
                </c:pt>
              </c:numCache>
            </c:numRef>
          </c:val>
        </c:ser>
        <c:dLbls>
          <c:showLegendKey val="0"/>
          <c:showVal val="0"/>
          <c:showCatName val="0"/>
          <c:showSerName val="0"/>
          <c:showPercent val="0"/>
          <c:showBubbleSize val="0"/>
        </c:dLbls>
        <c:gapWidth val="150"/>
        <c:axId val="43068032"/>
        <c:axId val="43082112"/>
      </c:barChart>
      <c:catAx>
        <c:axId val="43068032"/>
        <c:scaling>
          <c:orientation val="minMax"/>
        </c:scaling>
        <c:delete val="0"/>
        <c:axPos val="b"/>
        <c:majorTickMark val="out"/>
        <c:minorTickMark val="none"/>
        <c:tickLblPos val="nextTo"/>
        <c:txPr>
          <a:bodyPr rot="0"/>
          <a:lstStyle/>
          <a:p>
            <a:pPr>
              <a:defRPr sz="800" baseline="0">
                <a:solidFill>
                  <a:schemeClr val="tx2">
                    <a:lumMod val="50000"/>
                  </a:schemeClr>
                </a:solidFill>
              </a:defRPr>
            </a:pPr>
            <a:endParaRPr lang="en-US"/>
          </a:p>
        </c:txPr>
        <c:crossAx val="43082112"/>
        <c:crosses val="autoZero"/>
        <c:auto val="1"/>
        <c:lblAlgn val="ctr"/>
        <c:lblOffset val="100"/>
        <c:noMultiLvlLbl val="0"/>
      </c:catAx>
      <c:valAx>
        <c:axId val="43082112"/>
        <c:scaling>
          <c:orientation val="minMax"/>
        </c:scaling>
        <c:delete val="0"/>
        <c:axPos val="l"/>
        <c:majorGridlines/>
        <c:numFmt formatCode="General" sourceLinked="1"/>
        <c:majorTickMark val="out"/>
        <c:minorTickMark val="none"/>
        <c:tickLblPos val="nextTo"/>
        <c:txPr>
          <a:bodyPr/>
          <a:lstStyle/>
          <a:p>
            <a:pPr>
              <a:defRPr baseline="0">
                <a:solidFill>
                  <a:schemeClr val="tx2">
                    <a:lumMod val="50000"/>
                  </a:schemeClr>
                </a:solidFill>
              </a:defRPr>
            </a:pPr>
            <a:endParaRPr lang="en-US"/>
          </a:p>
        </c:txPr>
        <c:crossAx val="43068032"/>
        <c:crosses val="autoZero"/>
        <c:crossBetween val="between"/>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397481667623736"/>
          <c:y val="0.15138280791824099"/>
          <c:w val="0.76845056782686505"/>
          <c:h val="0.5318921931712044"/>
        </c:manualLayout>
      </c:layout>
      <c:bar3DChart>
        <c:barDir val="col"/>
        <c:grouping val="clustered"/>
        <c:varyColors val="0"/>
        <c:ser>
          <c:idx val="0"/>
          <c:order val="0"/>
          <c:invertIfNegative val="0"/>
          <c:cat>
            <c:strRef>
              <c:f>PART!$C$4:$C$13</c:f>
              <c:strCache>
                <c:ptCount val="10"/>
                <c:pt idx="0">
                  <c:v>Lower Extremities</c:v>
                </c:pt>
                <c:pt idx="1">
                  <c:v>Multiple Body Parts</c:v>
                </c:pt>
                <c:pt idx="2">
                  <c:v>Upper Extremities</c:v>
                </c:pt>
                <c:pt idx="3">
                  <c:v>Back</c:v>
                </c:pt>
                <c:pt idx="4">
                  <c:v>Head</c:v>
                </c:pt>
                <c:pt idx="5">
                  <c:v>Other Trunk</c:v>
                </c:pt>
                <c:pt idx="6">
                  <c:v>Chest</c:v>
                </c:pt>
                <c:pt idx="7">
                  <c:v>Neck</c:v>
                </c:pt>
                <c:pt idx="8">
                  <c:v>Other Body Parts</c:v>
                </c:pt>
                <c:pt idx="9">
                  <c:v>Body Systems</c:v>
                </c:pt>
              </c:strCache>
            </c:strRef>
          </c:cat>
          <c:val>
            <c:numRef>
              <c:f>PART!$D$4:$D$13</c:f>
              <c:numCache>
                <c:formatCode>General</c:formatCode>
                <c:ptCount val="10"/>
                <c:pt idx="0">
                  <c:v>287</c:v>
                </c:pt>
                <c:pt idx="1">
                  <c:v>225</c:v>
                </c:pt>
                <c:pt idx="2">
                  <c:v>188</c:v>
                </c:pt>
                <c:pt idx="3">
                  <c:v>163</c:v>
                </c:pt>
                <c:pt idx="4">
                  <c:v>86</c:v>
                </c:pt>
                <c:pt idx="5">
                  <c:v>47</c:v>
                </c:pt>
                <c:pt idx="6">
                  <c:v>21</c:v>
                </c:pt>
                <c:pt idx="7">
                  <c:v>12</c:v>
                </c:pt>
                <c:pt idx="8">
                  <c:v>5</c:v>
                </c:pt>
                <c:pt idx="9">
                  <c:v>1</c:v>
                </c:pt>
              </c:numCache>
            </c:numRef>
          </c:val>
        </c:ser>
        <c:dLbls>
          <c:showLegendKey val="0"/>
          <c:showVal val="0"/>
          <c:showCatName val="0"/>
          <c:showSerName val="0"/>
          <c:showPercent val="0"/>
          <c:showBubbleSize val="0"/>
        </c:dLbls>
        <c:gapWidth val="150"/>
        <c:shape val="box"/>
        <c:axId val="54006912"/>
        <c:axId val="54008448"/>
        <c:axId val="0"/>
      </c:bar3DChart>
      <c:catAx>
        <c:axId val="54006912"/>
        <c:scaling>
          <c:orientation val="minMax"/>
        </c:scaling>
        <c:delete val="0"/>
        <c:axPos val="b"/>
        <c:majorTickMark val="none"/>
        <c:minorTickMark val="none"/>
        <c:tickLblPos val="nextTo"/>
        <c:txPr>
          <a:bodyPr/>
          <a:lstStyle/>
          <a:p>
            <a:pPr>
              <a:defRPr baseline="0">
                <a:solidFill>
                  <a:schemeClr val="tx2">
                    <a:lumMod val="50000"/>
                  </a:schemeClr>
                </a:solidFill>
              </a:defRPr>
            </a:pPr>
            <a:endParaRPr lang="en-US"/>
          </a:p>
        </c:txPr>
        <c:crossAx val="54008448"/>
        <c:crosses val="autoZero"/>
        <c:auto val="1"/>
        <c:lblAlgn val="ctr"/>
        <c:lblOffset val="100"/>
        <c:noMultiLvlLbl val="0"/>
      </c:catAx>
      <c:valAx>
        <c:axId val="54008448"/>
        <c:scaling>
          <c:orientation val="minMax"/>
        </c:scaling>
        <c:delete val="0"/>
        <c:axPos val="l"/>
        <c:majorGridlines/>
        <c:numFmt formatCode="General" sourceLinked="1"/>
        <c:majorTickMark val="none"/>
        <c:minorTickMark val="none"/>
        <c:tickLblPos val="nextTo"/>
        <c:txPr>
          <a:bodyPr/>
          <a:lstStyle/>
          <a:p>
            <a:pPr>
              <a:defRPr baseline="0">
                <a:solidFill>
                  <a:schemeClr val="tx2">
                    <a:lumMod val="50000"/>
                  </a:schemeClr>
                </a:solidFill>
              </a:defRPr>
            </a:pPr>
            <a:endParaRPr lang="en-US"/>
          </a:p>
        </c:txPr>
        <c:crossAx val="54006912"/>
        <c:crosses val="autoZero"/>
        <c:crossBetween val="between"/>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909901749007"/>
          <c:y val="0.17258160559387442"/>
          <c:w val="0.81401721358434254"/>
          <c:h val="0.61668746738069846"/>
        </c:manualLayout>
      </c:layout>
      <c:barChart>
        <c:barDir val="col"/>
        <c:grouping val="clustered"/>
        <c:varyColors val="0"/>
        <c:ser>
          <c:idx val="0"/>
          <c:order val="0"/>
          <c:tx>
            <c:v>Incidents Per Day</c:v>
          </c:tx>
          <c:invertIfNegative val="0"/>
          <c:cat>
            <c:strRef>
              <c:f>'Incidence graph'!$E$3:$E$24</c:f>
              <c:strCach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20</c:v>
                </c:pt>
                <c:pt idx="20">
                  <c:v>21</c:v>
                </c:pt>
                <c:pt idx="21">
                  <c:v>35</c:v>
                </c:pt>
              </c:strCache>
            </c:strRef>
          </c:cat>
          <c:val>
            <c:numRef>
              <c:f>'Incidence graph'!$F$3:$F$24</c:f>
              <c:numCache>
                <c:formatCode>General</c:formatCode>
                <c:ptCount val="22"/>
                <c:pt idx="0">
                  <c:v>43</c:v>
                </c:pt>
                <c:pt idx="1">
                  <c:v>44</c:v>
                </c:pt>
                <c:pt idx="2">
                  <c:v>36</c:v>
                </c:pt>
                <c:pt idx="3">
                  <c:v>27</c:v>
                </c:pt>
                <c:pt idx="4">
                  <c:v>12</c:v>
                </c:pt>
                <c:pt idx="5">
                  <c:v>16</c:v>
                </c:pt>
                <c:pt idx="6">
                  <c:v>16</c:v>
                </c:pt>
                <c:pt idx="7">
                  <c:v>4</c:v>
                </c:pt>
                <c:pt idx="8">
                  <c:v>7</c:v>
                </c:pt>
                <c:pt idx="9">
                  <c:v>5</c:v>
                </c:pt>
                <c:pt idx="10">
                  <c:v>4</c:v>
                </c:pt>
                <c:pt idx="11">
                  <c:v>2</c:v>
                </c:pt>
                <c:pt idx="12">
                  <c:v>4</c:v>
                </c:pt>
                <c:pt idx="13">
                  <c:v>2</c:v>
                </c:pt>
                <c:pt idx="14">
                  <c:v>1</c:v>
                </c:pt>
                <c:pt idx="15">
                  <c:v>2</c:v>
                </c:pt>
                <c:pt idx="16">
                  <c:v>1</c:v>
                </c:pt>
                <c:pt idx="17">
                  <c:v>2</c:v>
                </c:pt>
                <c:pt idx="18">
                  <c:v>2</c:v>
                </c:pt>
                <c:pt idx="19">
                  <c:v>1</c:v>
                </c:pt>
                <c:pt idx="20">
                  <c:v>2</c:v>
                </c:pt>
                <c:pt idx="21">
                  <c:v>1</c:v>
                </c:pt>
              </c:numCache>
            </c:numRef>
          </c:val>
        </c:ser>
        <c:dLbls>
          <c:showLegendKey val="0"/>
          <c:showVal val="0"/>
          <c:showCatName val="0"/>
          <c:showSerName val="0"/>
          <c:showPercent val="0"/>
          <c:showBubbleSize val="0"/>
        </c:dLbls>
        <c:gapWidth val="75"/>
        <c:overlap val="-25"/>
        <c:axId val="54048256"/>
        <c:axId val="54049792"/>
      </c:barChart>
      <c:catAx>
        <c:axId val="54048256"/>
        <c:scaling>
          <c:orientation val="minMax"/>
        </c:scaling>
        <c:delete val="0"/>
        <c:axPos val="b"/>
        <c:majorTickMark val="none"/>
        <c:minorTickMark val="none"/>
        <c:tickLblPos val="nextTo"/>
        <c:crossAx val="54049792"/>
        <c:crosses val="autoZero"/>
        <c:auto val="1"/>
        <c:lblAlgn val="ctr"/>
        <c:lblOffset val="100"/>
        <c:noMultiLvlLbl val="0"/>
      </c:catAx>
      <c:valAx>
        <c:axId val="54049792"/>
        <c:scaling>
          <c:orientation val="minMax"/>
        </c:scaling>
        <c:delete val="0"/>
        <c:axPos val="l"/>
        <c:majorGridlines/>
        <c:numFmt formatCode="General" sourceLinked="1"/>
        <c:majorTickMark val="none"/>
        <c:minorTickMark val="none"/>
        <c:tickLblPos val="nextTo"/>
        <c:spPr>
          <a:ln w="9525">
            <a:noFill/>
          </a:ln>
        </c:spPr>
        <c:crossAx val="54048256"/>
        <c:crosses val="autoZero"/>
        <c:crossBetween val="between"/>
      </c:valAx>
    </c:plotArea>
    <c:legend>
      <c:legendPos val="b"/>
      <c:layout>
        <c:manualLayout>
          <c:xMode val="edge"/>
          <c:yMode val="edge"/>
          <c:x val="0.39856307342113212"/>
          <c:y val="0.87568333028138923"/>
          <c:w val="0.23119243722853228"/>
          <c:h val="6.2301165842641761E-2"/>
        </c:manualLayout>
      </c:layout>
      <c:overlay val="0"/>
      <c:txPr>
        <a:bodyPr/>
        <a:lstStyle/>
        <a:p>
          <a:pPr>
            <a:defRPr baseline="0">
              <a:solidFill>
                <a:schemeClr val="tx2">
                  <a:lumMod val="50000"/>
                </a:schemeClr>
              </a:solidFill>
            </a:defRPr>
          </a:pPr>
          <a:endParaRPr lang="en-US"/>
        </a:p>
      </c:txPr>
    </c:legend>
    <c:plotVisOnly val="1"/>
    <c:dispBlanksAs val="gap"/>
    <c:showDLblsOverMax val="0"/>
  </c:chart>
  <c:spPr>
    <a:solidFill>
      <a:schemeClr val="tx2">
        <a:lumMod val="20000"/>
        <a:lumOff val="80000"/>
      </a:schemeClr>
    </a:solidFill>
    <a:ln>
      <a:noFill/>
    </a:ln>
    <a:effectLst>
      <a:outerShdw blurRad="50800" dist="38100" dir="2700000" algn="tl" rotWithShape="0">
        <a:prstClr val="black">
          <a:alpha val="40000"/>
        </a:prstClr>
      </a:outerShdw>
    </a:effectLst>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002060"/>
                </a:solidFill>
              </a:defRPr>
            </a:pPr>
            <a:r>
              <a:rPr lang="en-US" sz="1100">
                <a:solidFill>
                  <a:srgbClr val="002060"/>
                </a:solidFill>
              </a:rPr>
              <a:t>Figure 9: Climatic Conditions Versus Incidence of Ice/Snow-Related</a:t>
            </a:r>
            <a:r>
              <a:rPr lang="en-US" sz="1100" baseline="0">
                <a:solidFill>
                  <a:srgbClr val="002060"/>
                </a:solidFill>
              </a:rPr>
              <a:t> Slips and Falls</a:t>
            </a:r>
            <a:endParaRPr lang="en-US" sz="1100">
              <a:solidFill>
                <a:srgbClr val="002060"/>
              </a:solidFill>
            </a:endParaRPr>
          </a:p>
        </c:rich>
      </c:tx>
      <c:layout>
        <c:manualLayout>
          <c:xMode val="edge"/>
          <c:yMode val="edge"/>
          <c:x val="0.12015972132179489"/>
          <c:y val="4.4150110375275942E-2"/>
        </c:manualLayout>
      </c:layout>
      <c:overlay val="0"/>
    </c:title>
    <c:autoTitleDeleted val="0"/>
    <c:plotArea>
      <c:layout>
        <c:manualLayout>
          <c:layoutTarget val="inner"/>
          <c:xMode val="edge"/>
          <c:yMode val="edge"/>
          <c:x val="0.12748901068217536"/>
          <c:y val="0.10164097037539181"/>
          <c:w val="0.85022122234720665"/>
          <c:h val="0.67090739485378892"/>
        </c:manualLayout>
      </c:layout>
      <c:barChart>
        <c:barDir val="col"/>
        <c:grouping val="clustered"/>
        <c:varyColors val="0"/>
        <c:ser>
          <c:idx val="8"/>
          <c:order val="1"/>
          <c:tx>
            <c:strRef>
              <c:f>'Withclimat '!$J$1</c:f>
              <c:strCache>
                <c:ptCount val="1"/>
                <c:pt idx="0">
                  <c:v>Climatic Pattern</c:v>
                </c:pt>
              </c:strCache>
            </c:strRef>
          </c:tx>
          <c:spPr>
            <a:effectLst>
              <a:outerShdw blurRad="50800" dist="50800" dir="5400000" algn="ctr" rotWithShape="0">
                <a:srgbClr val="0070C0"/>
              </a:outerShdw>
            </a:effectLst>
          </c:spPr>
          <c:invertIfNegative val="0"/>
          <c:cat>
            <c:numRef>
              <c:f>'Withclimat '!$A$2:$A$244</c:f>
              <c:numCache>
                <c:formatCode>[$-409]d\-mmm\-yy;@</c:formatCode>
                <c:ptCount val="243"/>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pt idx="31">
                  <c:v>40940</c:v>
                </c:pt>
                <c:pt idx="32">
                  <c:v>40941</c:v>
                </c:pt>
                <c:pt idx="33">
                  <c:v>40942</c:v>
                </c:pt>
                <c:pt idx="34">
                  <c:v>40943</c:v>
                </c:pt>
                <c:pt idx="35">
                  <c:v>40944</c:v>
                </c:pt>
                <c:pt idx="36">
                  <c:v>40945</c:v>
                </c:pt>
                <c:pt idx="37">
                  <c:v>40946</c:v>
                </c:pt>
                <c:pt idx="38">
                  <c:v>40947</c:v>
                </c:pt>
                <c:pt idx="39">
                  <c:v>40948</c:v>
                </c:pt>
                <c:pt idx="40">
                  <c:v>40949</c:v>
                </c:pt>
                <c:pt idx="41">
                  <c:v>40950</c:v>
                </c:pt>
                <c:pt idx="42">
                  <c:v>40951</c:v>
                </c:pt>
                <c:pt idx="43">
                  <c:v>40952</c:v>
                </c:pt>
                <c:pt idx="44">
                  <c:v>40953</c:v>
                </c:pt>
                <c:pt idx="45">
                  <c:v>40954</c:v>
                </c:pt>
                <c:pt idx="46">
                  <c:v>40955</c:v>
                </c:pt>
                <c:pt idx="47">
                  <c:v>40956</c:v>
                </c:pt>
                <c:pt idx="48">
                  <c:v>40957</c:v>
                </c:pt>
                <c:pt idx="49">
                  <c:v>40958</c:v>
                </c:pt>
                <c:pt idx="50">
                  <c:v>40959</c:v>
                </c:pt>
                <c:pt idx="51">
                  <c:v>40960</c:v>
                </c:pt>
                <c:pt idx="52">
                  <c:v>40961</c:v>
                </c:pt>
                <c:pt idx="53">
                  <c:v>40962</c:v>
                </c:pt>
                <c:pt idx="54">
                  <c:v>40963</c:v>
                </c:pt>
                <c:pt idx="55">
                  <c:v>40964</c:v>
                </c:pt>
                <c:pt idx="56">
                  <c:v>40965</c:v>
                </c:pt>
                <c:pt idx="57">
                  <c:v>40966</c:v>
                </c:pt>
                <c:pt idx="58">
                  <c:v>40967</c:v>
                </c:pt>
                <c:pt idx="59">
                  <c:v>40968</c:v>
                </c:pt>
                <c:pt idx="60">
                  <c:v>40969</c:v>
                </c:pt>
                <c:pt idx="61">
                  <c:v>40970</c:v>
                </c:pt>
                <c:pt idx="62">
                  <c:v>40971</c:v>
                </c:pt>
                <c:pt idx="63">
                  <c:v>40972</c:v>
                </c:pt>
                <c:pt idx="64">
                  <c:v>40973</c:v>
                </c:pt>
                <c:pt idx="65">
                  <c:v>40974</c:v>
                </c:pt>
                <c:pt idx="66">
                  <c:v>40975</c:v>
                </c:pt>
                <c:pt idx="67">
                  <c:v>40976</c:v>
                </c:pt>
                <c:pt idx="68">
                  <c:v>40977</c:v>
                </c:pt>
                <c:pt idx="69">
                  <c:v>40978</c:v>
                </c:pt>
                <c:pt idx="70">
                  <c:v>40979</c:v>
                </c:pt>
                <c:pt idx="71">
                  <c:v>40980</c:v>
                </c:pt>
                <c:pt idx="72">
                  <c:v>40981</c:v>
                </c:pt>
                <c:pt idx="73">
                  <c:v>40982</c:v>
                </c:pt>
                <c:pt idx="74">
                  <c:v>40983</c:v>
                </c:pt>
                <c:pt idx="75">
                  <c:v>40984</c:v>
                </c:pt>
                <c:pt idx="76">
                  <c:v>40985</c:v>
                </c:pt>
                <c:pt idx="77">
                  <c:v>40986</c:v>
                </c:pt>
                <c:pt idx="78">
                  <c:v>40987</c:v>
                </c:pt>
                <c:pt idx="79">
                  <c:v>40988</c:v>
                </c:pt>
                <c:pt idx="80">
                  <c:v>40989</c:v>
                </c:pt>
                <c:pt idx="81">
                  <c:v>40990</c:v>
                </c:pt>
                <c:pt idx="82">
                  <c:v>40991</c:v>
                </c:pt>
                <c:pt idx="83">
                  <c:v>40992</c:v>
                </c:pt>
                <c:pt idx="84">
                  <c:v>40993</c:v>
                </c:pt>
                <c:pt idx="85">
                  <c:v>40994</c:v>
                </c:pt>
                <c:pt idx="86">
                  <c:v>40995</c:v>
                </c:pt>
                <c:pt idx="87">
                  <c:v>40996</c:v>
                </c:pt>
                <c:pt idx="88">
                  <c:v>40997</c:v>
                </c:pt>
                <c:pt idx="89">
                  <c:v>40998</c:v>
                </c:pt>
                <c:pt idx="90">
                  <c:v>40999</c:v>
                </c:pt>
                <c:pt idx="92">
                  <c:v>41214</c:v>
                </c:pt>
                <c:pt idx="93">
                  <c:v>41215</c:v>
                </c:pt>
                <c:pt idx="94">
                  <c:v>41216</c:v>
                </c:pt>
                <c:pt idx="95">
                  <c:v>41217</c:v>
                </c:pt>
                <c:pt idx="96">
                  <c:v>41218</c:v>
                </c:pt>
                <c:pt idx="97">
                  <c:v>41219</c:v>
                </c:pt>
                <c:pt idx="98">
                  <c:v>41220</c:v>
                </c:pt>
                <c:pt idx="99">
                  <c:v>41221</c:v>
                </c:pt>
                <c:pt idx="100">
                  <c:v>41222</c:v>
                </c:pt>
                <c:pt idx="101">
                  <c:v>41223</c:v>
                </c:pt>
                <c:pt idx="102">
                  <c:v>41224</c:v>
                </c:pt>
                <c:pt idx="103">
                  <c:v>41590</c:v>
                </c:pt>
                <c:pt idx="104">
                  <c:v>41226</c:v>
                </c:pt>
                <c:pt idx="105">
                  <c:v>41227</c:v>
                </c:pt>
                <c:pt idx="106">
                  <c:v>41228</c:v>
                </c:pt>
                <c:pt idx="107">
                  <c:v>41229</c:v>
                </c:pt>
                <c:pt idx="108">
                  <c:v>41230</c:v>
                </c:pt>
                <c:pt idx="109">
                  <c:v>41231</c:v>
                </c:pt>
                <c:pt idx="110">
                  <c:v>41232</c:v>
                </c:pt>
                <c:pt idx="111">
                  <c:v>41233</c:v>
                </c:pt>
                <c:pt idx="112">
                  <c:v>41234</c:v>
                </c:pt>
                <c:pt idx="113">
                  <c:v>41235</c:v>
                </c:pt>
                <c:pt idx="114">
                  <c:v>41236</c:v>
                </c:pt>
                <c:pt idx="115">
                  <c:v>41237</c:v>
                </c:pt>
                <c:pt idx="116">
                  <c:v>41238</c:v>
                </c:pt>
                <c:pt idx="117">
                  <c:v>41239</c:v>
                </c:pt>
                <c:pt idx="118">
                  <c:v>41240</c:v>
                </c:pt>
                <c:pt idx="119">
                  <c:v>41241</c:v>
                </c:pt>
                <c:pt idx="120">
                  <c:v>41242</c:v>
                </c:pt>
                <c:pt idx="121">
                  <c:v>41243</c:v>
                </c:pt>
                <c:pt idx="122">
                  <c:v>41244</c:v>
                </c:pt>
                <c:pt idx="123">
                  <c:v>41245</c:v>
                </c:pt>
                <c:pt idx="124">
                  <c:v>41246</c:v>
                </c:pt>
                <c:pt idx="125">
                  <c:v>41247</c:v>
                </c:pt>
                <c:pt idx="126">
                  <c:v>41248</c:v>
                </c:pt>
                <c:pt idx="127">
                  <c:v>41249</c:v>
                </c:pt>
                <c:pt idx="128">
                  <c:v>41250</c:v>
                </c:pt>
                <c:pt idx="129">
                  <c:v>41251</c:v>
                </c:pt>
                <c:pt idx="130">
                  <c:v>41252</c:v>
                </c:pt>
                <c:pt idx="131">
                  <c:v>41253</c:v>
                </c:pt>
                <c:pt idx="132">
                  <c:v>41254</c:v>
                </c:pt>
                <c:pt idx="133">
                  <c:v>41255</c:v>
                </c:pt>
                <c:pt idx="134">
                  <c:v>41256</c:v>
                </c:pt>
                <c:pt idx="135">
                  <c:v>41257</c:v>
                </c:pt>
                <c:pt idx="136">
                  <c:v>41258</c:v>
                </c:pt>
                <c:pt idx="137">
                  <c:v>41259</c:v>
                </c:pt>
                <c:pt idx="138">
                  <c:v>41260</c:v>
                </c:pt>
                <c:pt idx="139">
                  <c:v>41261</c:v>
                </c:pt>
                <c:pt idx="140">
                  <c:v>41262</c:v>
                </c:pt>
                <c:pt idx="141">
                  <c:v>41263</c:v>
                </c:pt>
                <c:pt idx="142">
                  <c:v>41264</c:v>
                </c:pt>
                <c:pt idx="143">
                  <c:v>41265</c:v>
                </c:pt>
                <c:pt idx="144">
                  <c:v>41266</c:v>
                </c:pt>
                <c:pt idx="145">
                  <c:v>41267</c:v>
                </c:pt>
                <c:pt idx="146">
                  <c:v>41268</c:v>
                </c:pt>
                <c:pt idx="147">
                  <c:v>41269</c:v>
                </c:pt>
                <c:pt idx="148">
                  <c:v>41270</c:v>
                </c:pt>
                <c:pt idx="149">
                  <c:v>41271</c:v>
                </c:pt>
                <c:pt idx="150">
                  <c:v>41272</c:v>
                </c:pt>
                <c:pt idx="151">
                  <c:v>41273</c:v>
                </c:pt>
                <c:pt idx="152">
                  <c:v>41274</c:v>
                </c:pt>
                <c:pt idx="153">
                  <c:v>41275</c:v>
                </c:pt>
                <c:pt idx="154">
                  <c:v>41276</c:v>
                </c:pt>
                <c:pt idx="155">
                  <c:v>41277</c:v>
                </c:pt>
                <c:pt idx="156">
                  <c:v>41278</c:v>
                </c:pt>
                <c:pt idx="157">
                  <c:v>41279</c:v>
                </c:pt>
                <c:pt idx="158">
                  <c:v>41280</c:v>
                </c:pt>
                <c:pt idx="159">
                  <c:v>41281</c:v>
                </c:pt>
                <c:pt idx="160">
                  <c:v>41282</c:v>
                </c:pt>
                <c:pt idx="161">
                  <c:v>41283</c:v>
                </c:pt>
                <c:pt idx="162">
                  <c:v>41284</c:v>
                </c:pt>
                <c:pt idx="163">
                  <c:v>41285</c:v>
                </c:pt>
                <c:pt idx="164">
                  <c:v>41286</c:v>
                </c:pt>
                <c:pt idx="165">
                  <c:v>41287</c:v>
                </c:pt>
                <c:pt idx="166">
                  <c:v>41288</c:v>
                </c:pt>
                <c:pt idx="167">
                  <c:v>41289</c:v>
                </c:pt>
                <c:pt idx="168">
                  <c:v>41290</c:v>
                </c:pt>
                <c:pt idx="169">
                  <c:v>41291</c:v>
                </c:pt>
                <c:pt idx="170">
                  <c:v>41292</c:v>
                </c:pt>
                <c:pt idx="171">
                  <c:v>41293</c:v>
                </c:pt>
                <c:pt idx="172">
                  <c:v>41294</c:v>
                </c:pt>
                <c:pt idx="173">
                  <c:v>41295</c:v>
                </c:pt>
                <c:pt idx="174">
                  <c:v>41296</c:v>
                </c:pt>
                <c:pt idx="175">
                  <c:v>41297</c:v>
                </c:pt>
                <c:pt idx="176">
                  <c:v>41298</c:v>
                </c:pt>
                <c:pt idx="177">
                  <c:v>41299</c:v>
                </c:pt>
                <c:pt idx="178">
                  <c:v>41300</c:v>
                </c:pt>
                <c:pt idx="179">
                  <c:v>41301</c:v>
                </c:pt>
                <c:pt idx="180">
                  <c:v>41302</c:v>
                </c:pt>
                <c:pt idx="181">
                  <c:v>41303</c:v>
                </c:pt>
                <c:pt idx="182">
                  <c:v>41304</c:v>
                </c:pt>
                <c:pt idx="183">
                  <c:v>41305</c:v>
                </c:pt>
                <c:pt idx="184">
                  <c:v>41306</c:v>
                </c:pt>
                <c:pt idx="185">
                  <c:v>41307</c:v>
                </c:pt>
                <c:pt idx="186">
                  <c:v>41308</c:v>
                </c:pt>
                <c:pt idx="187">
                  <c:v>41309</c:v>
                </c:pt>
                <c:pt idx="188">
                  <c:v>41310</c:v>
                </c:pt>
                <c:pt idx="189">
                  <c:v>41311</c:v>
                </c:pt>
                <c:pt idx="190">
                  <c:v>41312</c:v>
                </c:pt>
                <c:pt idx="191">
                  <c:v>41313</c:v>
                </c:pt>
                <c:pt idx="192">
                  <c:v>41314</c:v>
                </c:pt>
                <c:pt idx="193">
                  <c:v>41315</c:v>
                </c:pt>
                <c:pt idx="194">
                  <c:v>41316</c:v>
                </c:pt>
                <c:pt idx="195">
                  <c:v>41317</c:v>
                </c:pt>
                <c:pt idx="196">
                  <c:v>41318</c:v>
                </c:pt>
                <c:pt idx="197">
                  <c:v>41319</c:v>
                </c:pt>
                <c:pt idx="198">
                  <c:v>41320</c:v>
                </c:pt>
                <c:pt idx="199">
                  <c:v>41321</c:v>
                </c:pt>
                <c:pt idx="200">
                  <c:v>41322</c:v>
                </c:pt>
                <c:pt idx="201">
                  <c:v>41323</c:v>
                </c:pt>
                <c:pt idx="202">
                  <c:v>41324</c:v>
                </c:pt>
                <c:pt idx="203">
                  <c:v>41325</c:v>
                </c:pt>
                <c:pt idx="204">
                  <c:v>41326</c:v>
                </c:pt>
                <c:pt idx="205">
                  <c:v>41327</c:v>
                </c:pt>
                <c:pt idx="206">
                  <c:v>41328</c:v>
                </c:pt>
                <c:pt idx="207">
                  <c:v>41329</c:v>
                </c:pt>
                <c:pt idx="208">
                  <c:v>41330</c:v>
                </c:pt>
                <c:pt idx="209">
                  <c:v>41331</c:v>
                </c:pt>
                <c:pt idx="210">
                  <c:v>41332</c:v>
                </c:pt>
                <c:pt idx="211">
                  <c:v>41333</c:v>
                </c:pt>
                <c:pt idx="212">
                  <c:v>41334</c:v>
                </c:pt>
                <c:pt idx="213">
                  <c:v>41335</c:v>
                </c:pt>
                <c:pt idx="214">
                  <c:v>41336</c:v>
                </c:pt>
                <c:pt idx="215">
                  <c:v>41337</c:v>
                </c:pt>
                <c:pt idx="216">
                  <c:v>41338</c:v>
                </c:pt>
                <c:pt idx="217">
                  <c:v>41339</c:v>
                </c:pt>
                <c:pt idx="218">
                  <c:v>41340</c:v>
                </c:pt>
                <c:pt idx="219">
                  <c:v>41341</c:v>
                </c:pt>
                <c:pt idx="220">
                  <c:v>41342</c:v>
                </c:pt>
                <c:pt idx="221">
                  <c:v>41343</c:v>
                </c:pt>
                <c:pt idx="222">
                  <c:v>41344</c:v>
                </c:pt>
                <c:pt idx="223">
                  <c:v>41345</c:v>
                </c:pt>
                <c:pt idx="224">
                  <c:v>41346</c:v>
                </c:pt>
                <c:pt idx="225">
                  <c:v>41347</c:v>
                </c:pt>
                <c:pt idx="226">
                  <c:v>41348</c:v>
                </c:pt>
                <c:pt idx="227">
                  <c:v>41349</c:v>
                </c:pt>
                <c:pt idx="228">
                  <c:v>41350</c:v>
                </c:pt>
                <c:pt idx="229">
                  <c:v>41351</c:v>
                </c:pt>
                <c:pt idx="230">
                  <c:v>41352</c:v>
                </c:pt>
                <c:pt idx="231">
                  <c:v>41353</c:v>
                </c:pt>
                <c:pt idx="232">
                  <c:v>41354</c:v>
                </c:pt>
                <c:pt idx="233">
                  <c:v>41355</c:v>
                </c:pt>
                <c:pt idx="234">
                  <c:v>41356</c:v>
                </c:pt>
                <c:pt idx="235">
                  <c:v>41357</c:v>
                </c:pt>
                <c:pt idx="236">
                  <c:v>41358</c:v>
                </c:pt>
                <c:pt idx="237">
                  <c:v>41359</c:v>
                </c:pt>
                <c:pt idx="238">
                  <c:v>41360</c:v>
                </c:pt>
                <c:pt idx="239">
                  <c:v>41361</c:v>
                </c:pt>
                <c:pt idx="240">
                  <c:v>41362</c:v>
                </c:pt>
                <c:pt idx="241">
                  <c:v>41363</c:v>
                </c:pt>
                <c:pt idx="242">
                  <c:v>41364</c:v>
                </c:pt>
              </c:numCache>
            </c:numRef>
          </c:cat>
          <c:val>
            <c:numRef>
              <c:f>'Withclimat '!$J$2:$J$244</c:f>
              <c:numCache>
                <c:formatCode>General</c:formatCode>
                <c:ptCount val="243"/>
                <c:pt idx="0">
                  <c:v>20</c:v>
                </c:pt>
                <c:pt idx="1">
                  <c:v>20</c:v>
                </c:pt>
                <c:pt idx="2">
                  <c:v>0</c:v>
                </c:pt>
                <c:pt idx="3">
                  <c:v>0</c:v>
                </c:pt>
                <c:pt idx="4">
                  <c:v>0</c:v>
                </c:pt>
                <c:pt idx="5">
                  <c:v>30</c:v>
                </c:pt>
                <c:pt idx="6">
                  <c:v>0</c:v>
                </c:pt>
                <c:pt idx="7">
                  <c:v>0</c:v>
                </c:pt>
                <c:pt idx="8">
                  <c:v>0</c:v>
                </c:pt>
                <c:pt idx="9">
                  <c:v>0</c:v>
                </c:pt>
                <c:pt idx="10">
                  <c:v>0</c:v>
                </c:pt>
                <c:pt idx="11">
                  <c:v>30</c:v>
                </c:pt>
                <c:pt idx="12">
                  <c:v>40</c:v>
                </c:pt>
                <c:pt idx="13">
                  <c:v>40</c:v>
                </c:pt>
                <c:pt idx="14">
                  <c:v>40</c:v>
                </c:pt>
                <c:pt idx="15">
                  <c:v>40</c:v>
                </c:pt>
                <c:pt idx="16">
                  <c:v>30</c:v>
                </c:pt>
                <c:pt idx="17">
                  <c:v>30</c:v>
                </c:pt>
                <c:pt idx="18">
                  <c:v>40</c:v>
                </c:pt>
                <c:pt idx="19">
                  <c:v>30</c:v>
                </c:pt>
                <c:pt idx="20">
                  <c:v>40</c:v>
                </c:pt>
                <c:pt idx="21">
                  <c:v>40</c:v>
                </c:pt>
                <c:pt idx="22">
                  <c:v>10</c:v>
                </c:pt>
                <c:pt idx="23">
                  <c:v>20</c:v>
                </c:pt>
                <c:pt idx="24">
                  <c:v>20</c:v>
                </c:pt>
                <c:pt idx="25">
                  <c:v>20</c:v>
                </c:pt>
                <c:pt idx="26">
                  <c:v>20</c:v>
                </c:pt>
                <c:pt idx="27">
                  <c:v>20</c:v>
                </c:pt>
                <c:pt idx="28">
                  <c:v>20</c:v>
                </c:pt>
                <c:pt idx="29">
                  <c:v>0</c:v>
                </c:pt>
                <c:pt idx="30">
                  <c:v>0</c:v>
                </c:pt>
                <c:pt idx="31">
                  <c:v>30</c:v>
                </c:pt>
                <c:pt idx="32">
                  <c:v>40</c:v>
                </c:pt>
                <c:pt idx="33">
                  <c:v>0</c:v>
                </c:pt>
                <c:pt idx="34">
                  <c:v>0</c:v>
                </c:pt>
                <c:pt idx="35">
                  <c:v>40</c:v>
                </c:pt>
                <c:pt idx="36">
                  <c:v>0</c:v>
                </c:pt>
                <c:pt idx="37">
                  <c:v>0</c:v>
                </c:pt>
                <c:pt idx="38">
                  <c:v>0</c:v>
                </c:pt>
                <c:pt idx="39">
                  <c:v>20</c:v>
                </c:pt>
                <c:pt idx="40">
                  <c:v>20</c:v>
                </c:pt>
                <c:pt idx="41">
                  <c:v>20</c:v>
                </c:pt>
                <c:pt idx="42">
                  <c:v>30</c:v>
                </c:pt>
                <c:pt idx="43">
                  <c:v>0</c:v>
                </c:pt>
                <c:pt idx="44">
                  <c:v>20</c:v>
                </c:pt>
                <c:pt idx="45">
                  <c:v>20</c:v>
                </c:pt>
                <c:pt idx="46">
                  <c:v>0</c:v>
                </c:pt>
                <c:pt idx="47">
                  <c:v>0</c:v>
                </c:pt>
                <c:pt idx="48">
                  <c:v>0</c:v>
                </c:pt>
                <c:pt idx="49">
                  <c:v>20</c:v>
                </c:pt>
                <c:pt idx="50">
                  <c:v>20</c:v>
                </c:pt>
                <c:pt idx="51">
                  <c:v>20</c:v>
                </c:pt>
                <c:pt idx="52">
                  <c:v>30</c:v>
                </c:pt>
                <c:pt idx="53">
                  <c:v>0</c:v>
                </c:pt>
                <c:pt idx="54">
                  <c:v>20</c:v>
                </c:pt>
                <c:pt idx="55">
                  <c:v>30</c:v>
                </c:pt>
                <c:pt idx="56">
                  <c:v>40</c:v>
                </c:pt>
                <c:pt idx="57">
                  <c:v>40</c:v>
                </c:pt>
                <c:pt idx="58">
                  <c:v>0</c:v>
                </c:pt>
                <c:pt idx="59">
                  <c:v>0</c:v>
                </c:pt>
                <c:pt idx="60">
                  <c:v>30</c:v>
                </c:pt>
                <c:pt idx="61">
                  <c:v>30</c:v>
                </c:pt>
                <c:pt idx="62">
                  <c:v>30</c:v>
                </c:pt>
                <c:pt idx="63">
                  <c:v>0</c:v>
                </c:pt>
                <c:pt idx="64">
                  <c:v>30</c:v>
                </c:pt>
                <c:pt idx="65">
                  <c:v>40</c:v>
                </c:pt>
                <c:pt idx="66">
                  <c:v>0</c:v>
                </c:pt>
                <c:pt idx="67">
                  <c:v>0</c:v>
                </c:pt>
                <c:pt idx="68">
                  <c:v>0</c:v>
                </c:pt>
                <c:pt idx="69">
                  <c:v>0</c:v>
                </c:pt>
                <c:pt idx="70">
                  <c:v>0</c:v>
                </c:pt>
                <c:pt idx="71">
                  <c:v>0</c:v>
                </c:pt>
                <c:pt idx="72">
                  <c:v>30</c:v>
                </c:pt>
                <c:pt idx="73">
                  <c:v>30</c:v>
                </c:pt>
                <c:pt idx="74">
                  <c:v>20</c:v>
                </c:pt>
                <c:pt idx="75">
                  <c:v>20</c:v>
                </c:pt>
                <c:pt idx="76">
                  <c:v>10</c:v>
                </c:pt>
                <c:pt idx="77">
                  <c:v>10</c:v>
                </c:pt>
                <c:pt idx="78">
                  <c:v>10</c:v>
                </c:pt>
                <c:pt idx="79">
                  <c:v>10</c:v>
                </c:pt>
                <c:pt idx="80">
                  <c:v>10</c:v>
                </c:pt>
                <c:pt idx="81">
                  <c:v>10</c:v>
                </c:pt>
                <c:pt idx="82">
                  <c:v>10</c:v>
                </c:pt>
                <c:pt idx="83">
                  <c:v>10</c:v>
                </c:pt>
                <c:pt idx="84">
                  <c:v>10</c:v>
                </c:pt>
                <c:pt idx="85">
                  <c:v>10</c:v>
                </c:pt>
                <c:pt idx="86">
                  <c:v>10</c:v>
                </c:pt>
                <c:pt idx="87">
                  <c:v>30</c:v>
                </c:pt>
                <c:pt idx="88">
                  <c:v>0</c:v>
                </c:pt>
                <c:pt idx="89">
                  <c:v>0</c:v>
                </c:pt>
                <c:pt idx="90">
                  <c:v>0</c:v>
                </c:pt>
                <c:pt idx="91">
                  <c:v>0</c:v>
                </c:pt>
                <c:pt idx="92">
                  <c:v>10</c:v>
                </c:pt>
                <c:pt idx="93">
                  <c:v>10</c:v>
                </c:pt>
                <c:pt idx="94">
                  <c:v>10</c:v>
                </c:pt>
                <c:pt idx="95">
                  <c:v>10</c:v>
                </c:pt>
                <c:pt idx="96">
                  <c:v>0</c:v>
                </c:pt>
                <c:pt idx="97">
                  <c:v>0</c:v>
                </c:pt>
                <c:pt idx="98">
                  <c:v>0</c:v>
                </c:pt>
                <c:pt idx="99">
                  <c:v>0</c:v>
                </c:pt>
                <c:pt idx="100">
                  <c:v>10</c:v>
                </c:pt>
                <c:pt idx="101">
                  <c:v>0</c:v>
                </c:pt>
                <c:pt idx="102">
                  <c:v>0</c:v>
                </c:pt>
                <c:pt idx="103">
                  <c:v>10</c:v>
                </c:pt>
                <c:pt idx="104">
                  <c:v>10</c:v>
                </c:pt>
                <c:pt idx="105">
                  <c:v>30</c:v>
                </c:pt>
                <c:pt idx="106">
                  <c:v>20</c:v>
                </c:pt>
                <c:pt idx="107">
                  <c:v>20</c:v>
                </c:pt>
                <c:pt idx="108">
                  <c:v>20</c:v>
                </c:pt>
                <c:pt idx="109">
                  <c:v>20</c:v>
                </c:pt>
                <c:pt idx="110">
                  <c:v>20</c:v>
                </c:pt>
                <c:pt idx="111">
                  <c:v>20</c:v>
                </c:pt>
                <c:pt idx="112">
                  <c:v>20</c:v>
                </c:pt>
                <c:pt idx="113">
                  <c:v>20</c:v>
                </c:pt>
                <c:pt idx="114">
                  <c:v>0</c:v>
                </c:pt>
                <c:pt idx="115">
                  <c:v>20</c:v>
                </c:pt>
                <c:pt idx="116">
                  <c:v>20</c:v>
                </c:pt>
                <c:pt idx="117">
                  <c:v>20</c:v>
                </c:pt>
                <c:pt idx="118">
                  <c:v>20</c:v>
                </c:pt>
                <c:pt idx="119">
                  <c:v>30</c:v>
                </c:pt>
                <c:pt idx="120">
                  <c:v>20</c:v>
                </c:pt>
                <c:pt idx="121">
                  <c:v>30</c:v>
                </c:pt>
                <c:pt idx="122">
                  <c:v>40</c:v>
                </c:pt>
                <c:pt idx="123">
                  <c:v>30</c:v>
                </c:pt>
                <c:pt idx="124">
                  <c:v>20</c:v>
                </c:pt>
                <c:pt idx="125">
                  <c:v>20</c:v>
                </c:pt>
                <c:pt idx="126">
                  <c:v>0</c:v>
                </c:pt>
                <c:pt idx="127">
                  <c:v>20</c:v>
                </c:pt>
                <c:pt idx="128">
                  <c:v>20</c:v>
                </c:pt>
                <c:pt idx="129">
                  <c:v>0</c:v>
                </c:pt>
                <c:pt idx="130">
                  <c:v>0</c:v>
                </c:pt>
                <c:pt idx="131">
                  <c:v>30</c:v>
                </c:pt>
                <c:pt idx="132">
                  <c:v>20</c:v>
                </c:pt>
                <c:pt idx="133">
                  <c:v>20</c:v>
                </c:pt>
                <c:pt idx="134">
                  <c:v>20</c:v>
                </c:pt>
                <c:pt idx="135">
                  <c:v>20</c:v>
                </c:pt>
                <c:pt idx="136">
                  <c:v>20</c:v>
                </c:pt>
                <c:pt idx="137">
                  <c:v>40</c:v>
                </c:pt>
                <c:pt idx="138">
                  <c:v>30</c:v>
                </c:pt>
                <c:pt idx="139">
                  <c:v>30</c:v>
                </c:pt>
                <c:pt idx="140">
                  <c:v>0</c:v>
                </c:pt>
                <c:pt idx="141">
                  <c:v>0</c:v>
                </c:pt>
                <c:pt idx="142">
                  <c:v>30</c:v>
                </c:pt>
                <c:pt idx="143">
                  <c:v>20</c:v>
                </c:pt>
                <c:pt idx="144">
                  <c:v>30</c:v>
                </c:pt>
                <c:pt idx="145">
                  <c:v>40</c:v>
                </c:pt>
                <c:pt idx="146">
                  <c:v>40</c:v>
                </c:pt>
                <c:pt idx="147">
                  <c:v>40</c:v>
                </c:pt>
                <c:pt idx="148">
                  <c:v>30</c:v>
                </c:pt>
                <c:pt idx="149">
                  <c:v>30</c:v>
                </c:pt>
                <c:pt idx="150">
                  <c:v>40</c:v>
                </c:pt>
                <c:pt idx="151">
                  <c:v>40</c:v>
                </c:pt>
                <c:pt idx="152">
                  <c:v>40</c:v>
                </c:pt>
                <c:pt idx="153">
                  <c:v>40</c:v>
                </c:pt>
                <c:pt idx="154">
                  <c:v>40</c:v>
                </c:pt>
                <c:pt idx="155">
                  <c:v>40</c:v>
                </c:pt>
                <c:pt idx="156">
                  <c:v>40</c:v>
                </c:pt>
                <c:pt idx="157">
                  <c:v>40</c:v>
                </c:pt>
                <c:pt idx="158">
                  <c:v>30</c:v>
                </c:pt>
                <c:pt idx="159">
                  <c:v>30</c:v>
                </c:pt>
                <c:pt idx="160">
                  <c:v>20</c:v>
                </c:pt>
                <c:pt idx="161">
                  <c:v>20</c:v>
                </c:pt>
                <c:pt idx="162">
                  <c:v>20</c:v>
                </c:pt>
                <c:pt idx="163">
                  <c:v>20</c:v>
                </c:pt>
                <c:pt idx="164">
                  <c:v>20</c:v>
                </c:pt>
                <c:pt idx="165">
                  <c:v>0</c:v>
                </c:pt>
                <c:pt idx="166">
                  <c:v>10</c:v>
                </c:pt>
                <c:pt idx="167">
                  <c:v>0</c:v>
                </c:pt>
                <c:pt idx="168">
                  <c:v>30</c:v>
                </c:pt>
                <c:pt idx="169">
                  <c:v>30</c:v>
                </c:pt>
                <c:pt idx="170">
                  <c:v>40</c:v>
                </c:pt>
                <c:pt idx="171">
                  <c:v>40</c:v>
                </c:pt>
                <c:pt idx="172">
                  <c:v>10</c:v>
                </c:pt>
                <c:pt idx="173">
                  <c:v>30</c:v>
                </c:pt>
                <c:pt idx="174">
                  <c:v>40</c:v>
                </c:pt>
                <c:pt idx="175">
                  <c:v>40</c:v>
                </c:pt>
                <c:pt idx="176">
                  <c:v>40</c:v>
                </c:pt>
                <c:pt idx="177">
                  <c:v>40</c:v>
                </c:pt>
                <c:pt idx="178">
                  <c:v>40</c:v>
                </c:pt>
                <c:pt idx="179">
                  <c:v>40</c:v>
                </c:pt>
                <c:pt idx="180">
                  <c:v>40</c:v>
                </c:pt>
                <c:pt idx="181">
                  <c:v>40</c:v>
                </c:pt>
                <c:pt idx="182">
                  <c:v>40</c:v>
                </c:pt>
                <c:pt idx="183">
                  <c:v>10</c:v>
                </c:pt>
                <c:pt idx="184">
                  <c:v>20</c:v>
                </c:pt>
                <c:pt idx="185">
                  <c:v>40</c:v>
                </c:pt>
                <c:pt idx="186">
                  <c:v>40</c:v>
                </c:pt>
                <c:pt idx="187">
                  <c:v>40</c:v>
                </c:pt>
                <c:pt idx="188">
                  <c:v>40</c:v>
                </c:pt>
                <c:pt idx="189">
                  <c:v>40</c:v>
                </c:pt>
                <c:pt idx="190">
                  <c:v>40</c:v>
                </c:pt>
                <c:pt idx="191">
                  <c:v>40</c:v>
                </c:pt>
                <c:pt idx="192">
                  <c:v>30</c:v>
                </c:pt>
                <c:pt idx="193">
                  <c:v>30</c:v>
                </c:pt>
                <c:pt idx="194">
                  <c:v>20</c:v>
                </c:pt>
                <c:pt idx="195">
                  <c:v>20</c:v>
                </c:pt>
                <c:pt idx="196">
                  <c:v>20</c:v>
                </c:pt>
                <c:pt idx="197">
                  <c:v>20</c:v>
                </c:pt>
                <c:pt idx="198">
                  <c:v>20</c:v>
                </c:pt>
                <c:pt idx="199">
                  <c:v>20</c:v>
                </c:pt>
                <c:pt idx="200">
                  <c:v>20</c:v>
                </c:pt>
                <c:pt idx="201">
                  <c:v>20</c:v>
                </c:pt>
                <c:pt idx="202">
                  <c:v>20</c:v>
                </c:pt>
                <c:pt idx="203">
                  <c:v>20</c:v>
                </c:pt>
                <c:pt idx="204">
                  <c:v>30</c:v>
                </c:pt>
                <c:pt idx="205">
                  <c:v>20</c:v>
                </c:pt>
                <c:pt idx="206">
                  <c:v>20</c:v>
                </c:pt>
                <c:pt idx="207">
                  <c:v>30</c:v>
                </c:pt>
                <c:pt idx="208">
                  <c:v>30</c:v>
                </c:pt>
                <c:pt idx="209">
                  <c:v>0</c:v>
                </c:pt>
                <c:pt idx="210">
                  <c:v>30</c:v>
                </c:pt>
                <c:pt idx="211">
                  <c:v>30</c:v>
                </c:pt>
                <c:pt idx="212">
                  <c:v>30</c:v>
                </c:pt>
                <c:pt idx="213">
                  <c:v>30</c:v>
                </c:pt>
                <c:pt idx="214">
                  <c:v>30</c:v>
                </c:pt>
                <c:pt idx="215">
                  <c:v>0</c:v>
                </c:pt>
                <c:pt idx="216">
                  <c:v>0</c:v>
                </c:pt>
                <c:pt idx="217">
                  <c:v>0</c:v>
                </c:pt>
                <c:pt idx="218">
                  <c:v>0</c:v>
                </c:pt>
                <c:pt idx="219">
                  <c:v>20</c:v>
                </c:pt>
                <c:pt idx="220">
                  <c:v>20</c:v>
                </c:pt>
                <c:pt idx="221">
                  <c:v>20</c:v>
                </c:pt>
                <c:pt idx="222">
                  <c:v>0</c:v>
                </c:pt>
                <c:pt idx="223">
                  <c:v>10</c:v>
                </c:pt>
                <c:pt idx="224">
                  <c:v>10</c:v>
                </c:pt>
                <c:pt idx="225">
                  <c:v>0</c:v>
                </c:pt>
                <c:pt idx="226">
                  <c:v>30</c:v>
                </c:pt>
                <c:pt idx="227">
                  <c:v>20</c:v>
                </c:pt>
                <c:pt idx="228">
                  <c:v>40</c:v>
                </c:pt>
                <c:pt idx="229">
                  <c:v>20</c:v>
                </c:pt>
                <c:pt idx="230">
                  <c:v>30</c:v>
                </c:pt>
                <c:pt idx="231">
                  <c:v>30</c:v>
                </c:pt>
                <c:pt idx="232">
                  <c:v>20</c:v>
                </c:pt>
                <c:pt idx="233">
                  <c:v>20</c:v>
                </c:pt>
                <c:pt idx="234">
                  <c:v>20</c:v>
                </c:pt>
                <c:pt idx="235">
                  <c:v>20</c:v>
                </c:pt>
                <c:pt idx="236">
                  <c:v>20</c:v>
                </c:pt>
                <c:pt idx="237">
                  <c:v>20</c:v>
                </c:pt>
                <c:pt idx="238">
                  <c:v>0</c:v>
                </c:pt>
                <c:pt idx="239">
                  <c:v>10</c:v>
                </c:pt>
                <c:pt idx="240">
                  <c:v>10</c:v>
                </c:pt>
                <c:pt idx="241">
                  <c:v>20</c:v>
                </c:pt>
                <c:pt idx="242">
                  <c:v>20</c:v>
                </c:pt>
              </c:numCache>
            </c:numRef>
          </c:val>
        </c:ser>
        <c:dLbls>
          <c:showLegendKey val="0"/>
          <c:showVal val="0"/>
          <c:showCatName val="0"/>
          <c:showSerName val="0"/>
          <c:showPercent val="0"/>
          <c:showBubbleSize val="0"/>
        </c:dLbls>
        <c:gapWidth val="150"/>
        <c:axId val="54120832"/>
        <c:axId val="54122752"/>
      </c:barChart>
      <c:lineChart>
        <c:grouping val="standard"/>
        <c:varyColors val="0"/>
        <c:ser>
          <c:idx val="0"/>
          <c:order val="0"/>
          <c:tx>
            <c:strRef>
              <c:f>'Withclimat '!$B$1</c:f>
              <c:strCache>
                <c:ptCount val="1"/>
                <c:pt idx="0">
                  <c:v>Data1</c:v>
                </c:pt>
              </c:strCache>
            </c:strRef>
          </c:tx>
          <c:spPr>
            <a:ln w="12700">
              <a:solidFill>
                <a:srgbClr val="FF0000"/>
              </a:solidFill>
              <a:prstDash val="solid"/>
            </a:ln>
            <a:effectLst/>
          </c:spPr>
          <c:marker>
            <c:symbol val="none"/>
          </c:marker>
          <c:dPt>
            <c:idx val="5"/>
            <c:bubble3D val="0"/>
          </c:dPt>
          <c:dPt>
            <c:idx val="7"/>
            <c:bubble3D val="0"/>
          </c:dPt>
          <c:dPt>
            <c:idx val="8"/>
            <c:bubble3D val="0"/>
          </c:dPt>
          <c:dPt>
            <c:idx val="9"/>
            <c:bubble3D val="0"/>
          </c:dPt>
          <c:dPt>
            <c:idx val="10"/>
            <c:bubble3D val="0"/>
          </c:dPt>
          <c:dPt>
            <c:idx val="11"/>
            <c:bubble3D val="0"/>
          </c:dPt>
          <c:dPt>
            <c:idx val="16"/>
            <c:bubble3D val="0"/>
          </c:dPt>
          <c:dPt>
            <c:idx val="17"/>
            <c:bubble3D val="0"/>
          </c:dPt>
          <c:dPt>
            <c:idx val="18"/>
            <c:bubble3D val="0"/>
          </c:dPt>
          <c:dPt>
            <c:idx val="19"/>
            <c:bubble3D val="0"/>
          </c:dPt>
          <c:dPt>
            <c:idx val="22"/>
            <c:bubble3D val="0"/>
          </c:dPt>
          <c:dPt>
            <c:idx val="23"/>
            <c:bubble3D val="0"/>
          </c:dPt>
          <c:dPt>
            <c:idx val="24"/>
            <c:bubble3D val="0"/>
          </c:dPt>
          <c:dPt>
            <c:idx val="25"/>
            <c:bubble3D val="0"/>
          </c:dPt>
          <c:dPt>
            <c:idx val="26"/>
            <c:bubble3D val="0"/>
          </c:dPt>
          <c:dPt>
            <c:idx val="27"/>
            <c:bubble3D val="0"/>
          </c:dPt>
          <c:dPt>
            <c:idx val="28"/>
            <c:bubble3D val="0"/>
          </c:dPt>
          <c:dPt>
            <c:idx val="29"/>
            <c:bubble3D val="0"/>
          </c:dPt>
          <c:dPt>
            <c:idx val="30"/>
            <c:bubble3D val="0"/>
          </c:dPt>
          <c:dPt>
            <c:idx val="31"/>
            <c:bubble3D val="0"/>
          </c:dPt>
          <c:dPt>
            <c:idx val="45"/>
            <c:bubble3D val="0"/>
          </c:dPt>
          <c:dPt>
            <c:idx val="46"/>
            <c:bubble3D val="0"/>
          </c:dPt>
          <c:dPt>
            <c:idx val="47"/>
            <c:bubble3D val="0"/>
          </c:dPt>
          <c:dPt>
            <c:idx val="48"/>
            <c:bubble3D val="0"/>
          </c:dPt>
          <c:dPt>
            <c:idx val="49"/>
            <c:bubble3D val="0"/>
          </c:dPt>
          <c:dPt>
            <c:idx val="50"/>
            <c:bubble3D val="0"/>
          </c:dPt>
          <c:dPt>
            <c:idx val="60"/>
            <c:bubble3D val="0"/>
          </c:dPt>
          <c:dPt>
            <c:idx val="64"/>
            <c:bubble3D val="0"/>
          </c:dPt>
          <c:dPt>
            <c:idx val="66"/>
            <c:bubble3D val="0"/>
          </c:dPt>
          <c:dPt>
            <c:idx val="67"/>
            <c:bubble3D val="0"/>
          </c:dPt>
          <c:dPt>
            <c:idx val="68"/>
            <c:bubble3D val="0"/>
          </c:dPt>
          <c:dPt>
            <c:idx val="69"/>
            <c:bubble3D val="0"/>
          </c:dPt>
          <c:dPt>
            <c:idx val="70"/>
            <c:bubble3D val="0"/>
          </c:dPt>
          <c:dPt>
            <c:idx val="71"/>
            <c:bubble3D val="0"/>
          </c:dPt>
          <c:dPt>
            <c:idx val="72"/>
            <c:bubble3D val="0"/>
          </c:dPt>
          <c:dPt>
            <c:idx val="73"/>
            <c:bubble3D val="0"/>
          </c:dPt>
          <c:dPt>
            <c:idx val="74"/>
            <c:bubble3D val="0"/>
          </c:dPt>
          <c:dPt>
            <c:idx val="75"/>
            <c:bubble3D val="0"/>
          </c:dPt>
          <c:dPt>
            <c:idx val="76"/>
            <c:bubble3D val="0"/>
          </c:dPt>
          <c:dPt>
            <c:idx val="77"/>
            <c:bubble3D val="0"/>
          </c:dPt>
          <c:dPt>
            <c:idx val="78"/>
            <c:bubble3D val="0"/>
          </c:dPt>
          <c:dPt>
            <c:idx val="79"/>
            <c:bubble3D val="0"/>
          </c:dPt>
          <c:dPt>
            <c:idx val="80"/>
            <c:bubble3D val="0"/>
          </c:dPt>
          <c:dPt>
            <c:idx val="81"/>
            <c:bubble3D val="0"/>
          </c:dPt>
          <c:dPt>
            <c:idx val="82"/>
            <c:bubble3D val="0"/>
          </c:dPt>
          <c:dPt>
            <c:idx val="83"/>
            <c:bubble3D val="0"/>
          </c:dPt>
          <c:dPt>
            <c:idx val="84"/>
            <c:bubble3D val="0"/>
          </c:dPt>
          <c:dPt>
            <c:idx val="85"/>
            <c:bubble3D val="0"/>
          </c:dPt>
          <c:dPt>
            <c:idx val="86"/>
            <c:bubble3D val="0"/>
          </c:dPt>
          <c:dPt>
            <c:idx val="87"/>
            <c:bubble3D val="0"/>
          </c:dPt>
          <c:dPt>
            <c:idx val="88"/>
            <c:bubble3D val="0"/>
          </c:dPt>
          <c:dPt>
            <c:idx val="89"/>
            <c:bubble3D val="0"/>
          </c:dPt>
          <c:dPt>
            <c:idx val="90"/>
            <c:bubble3D val="0"/>
          </c:dPt>
          <c:dPt>
            <c:idx val="91"/>
            <c:bubble3D val="0"/>
          </c:dPt>
          <c:dPt>
            <c:idx val="92"/>
            <c:bubble3D val="0"/>
          </c:dPt>
          <c:dPt>
            <c:idx val="93"/>
            <c:bubble3D val="0"/>
          </c:dPt>
          <c:dPt>
            <c:idx val="94"/>
            <c:bubble3D val="0"/>
          </c:dPt>
          <c:dPt>
            <c:idx val="95"/>
            <c:bubble3D val="0"/>
          </c:dPt>
          <c:dPt>
            <c:idx val="96"/>
            <c:bubble3D val="0"/>
          </c:dPt>
          <c:dPt>
            <c:idx val="97"/>
            <c:bubble3D val="0"/>
          </c:dPt>
          <c:dPt>
            <c:idx val="98"/>
            <c:bubble3D val="0"/>
          </c:dPt>
          <c:dPt>
            <c:idx val="99"/>
            <c:bubble3D val="0"/>
          </c:dPt>
          <c:dPt>
            <c:idx val="100"/>
            <c:bubble3D val="0"/>
          </c:dPt>
          <c:dPt>
            <c:idx val="101"/>
            <c:bubble3D val="0"/>
          </c:dPt>
          <c:dPt>
            <c:idx val="102"/>
            <c:bubble3D val="0"/>
          </c:dPt>
          <c:dPt>
            <c:idx val="103"/>
            <c:bubble3D val="0"/>
          </c:dPt>
          <c:dPt>
            <c:idx val="104"/>
            <c:bubble3D val="0"/>
          </c:dPt>
          <c:dPt>
            <c:idx val="105"/>
            <c:bubble3D val="0"/>
          </c:dPt>
          <c:dPt>
            <c:idx val="106"/>
            <c:bubble3D val="0"/>
          </c:dPt>
          <c:dPt>
            <c:idx val="107"/>
            <c:bubble3D val="0"/>
          </c:dPt>
          <c:dPt>
            <c:idx val="108"/>
            <c:bubble3D val="0"/>
          </c:dPt>
          <c:dPt>
            <c:idx val="109"/>
            <c:bubble3D val="0"/>
          </c:dPt>
          <c:dPt>
            <c:idx val="110"/>
            <c:bubble3D val="0"/>
          </c:dPt>
          <c:dPt>
            <c:idx val="111"/>
            <c:bubble3D val="0"/>
          </c:dPt>
          <c:dPt>
            <c:idx val="112"/>
            <c:bubble3D val="0"/>
          </c:dPt>
          <c:dPt>
            <c:idx val="113"/>
            <c:bubble3D val="0"/>
          </c:dPt>
          <c:dPt>
            <c:idx val="114"/>
            <c:bubble3D val="0"/>
          </c:dPt>
          <c:dPt>
            <c:idx val="115"/>
            <c:bubble3D val="0"/>
          </c:dPt>
          <c:dPt>
            <c:idx val="116"/>
            <c:bubble3D val="0"/>
          </c:dPt>
          <c:dPt>
            <c:idx val="117"/>
            <c:bubble3D val="0"/>
          </c:dPt>
          <c:dPt>
            <c:idx val="118"/>
            <c:bubble3D val="0"/>
          </c:dPt>
          <c:dPt>
            <c:idx val="119"/>
            <c:bubble3D val="0"/>
          </c:dPt>
          <c:dPt>
            <c:idx val="120"/>
            <c:bubble3D val="0"/>
          </c:dPt>
          <c:dPt>
            <c:idx val="121"/>
            <c:bubble3D val="0"/>
          </c:dPt>
          <c:dPt>
            <c:idx val="122"/>
            <c:bubble3D val="0"/>
          </c:dPt>
          <c:dPt>
            <c:idx val="123"/>
            <c:bubble3D val="0"/>
          </c:dPt>
          <c:dPt>
            <c:idx val="124"/>
            <c:bubble3D val="0"/>
          </c:dPt>
          <c:dPt>
            <c:idx val="125"/>
            <c:bubble3D val="0"/>
          </c:dPt>
          <c:dPt>
            <c:idx val="126"/>
            <c:bubble3D val="0"/>
          </c:dPt>
          <c:dPt>
            <c:idx val="127"/>
            <c:bubble3D val="0"/>
          </c:dPt>
          <c:dPt>
            <c:idx val="128"/>
            <c:bubble3D val="0"/>
          </c:dPt>
          <c:dPt>
            <c:idx val="129"/>
            <c:bubble3D val="0"/>
          </c:dPt>
          <c:dPt>
            <c:idx val="130"/>
            <c:bubble3D val="0"/>
          </c:dPt>
          <c:dPt>
            <c:idx val="131"/>
            <c:bubble3D val="0"/>
          </c:dPt>
          <c:dPt>
            <c:idx val="138"/>
            <c:bubble3D val="0"/>
          </c:dPt>
          <c:dPt>
            <c:idx val="147"/>
            <c:bubble3D val="0"/>
          </c:dPt>
          <c:dPt>
            <c:idx val="148"/>
            <c:bubble3D val="0"/>
          </c:dPt>
          <c:dPt>
            <c:idx val="149"/>
            <c:bubble3D val="0"/>
          </c:dPt>
          <c:dPt>
            <c:idx val="150"/>
            <c:bubble3D val="0"/>
          </c:dPt>
          <c:dPt>
            <c:idx val="151"/>
            <c:bubble3D val="0"/>
          </c:dPt>
          <c:dPt>
            <c:idx val="159"/>
            <c:bubble3D val="0"/>
          </c:dPt>
          <c:dPt>
            <c:idx val="160"/>
            <c:bubble3D val="0"/>
          </c:dPt>
          <c:dPt>
            <c:idx val="161"/>
            <c:bubble3D val="0"/>
          </c:dPt>
          <c:dPt>
            <c:idx val="162"/>
            <c:bubble3D val="0"/>
          </c:dPt>
          <c:dPt>
            <c:idx val="163"/>
            <c:bubble3D val="0"/>
          </c:dPt>
          <c:dPt>
            <c:idx val="168"/>
            <c:bubble3D val="0"/>
          </c:dPt>
          <c:dPt>
            <c:idx val="169"/>
            <c:bubble3D val="0"/>
          </c:dPt>
          <c:dPt>
            <c:idx val="181"/>
            <c:bubble3D val="0"/>
          </c:dPt>
          <c:dPt>
            <c:idx val="182"/>
            <c:bubble3D val="0"/>
          </c:dPt>
          <c:dPt>
            <c:idx val="190"/>
            <c:bubble3D val="0"/>
          </c:dPt>
          <c:dPt>
            <c:idx val="191"/>
            <c:bubble3D val="0"/>
          </c:dPt>
          <c:dPt>
            <c:idx val="192"/>
            <c:bubble3D val="0"/>
          </c:dPt>
          <c:dPt>
            <c:idx val="193"/>
            <c:bubble3D val="0"/>
          </c:dPt>
          <c:dPt>
            <c:idx val="194"/>
            <c:bubble3D val="0"/>
          </c:dPt>
          <c:dPt>
            <c:idx val="195"/>
            <c:bubble3D val="0"/>
          </c:dPt>
          <c:dPt>
            <c:idx val="196"/>
            <c:bubble3D val="0"/>
          </c:dPt>
          <c:dPt>
            <c:idx val="197"/>
            <c:bubble3D val="0"/>
          </c:dPt>
          <c:dPt>
            <c:idx val="198"/>
            <c:bubble3D val="0"/>
          </c:dPt>
          <c:dPt>
            <c:idx val="199"/>
            <c:bubble3D val="0"/>
          </c:dPt>
          <c:dPt>
            <c:idx val="200"/>
            <c:bubble3D val="0"/>
          </c:dPt>
          <c:dPt>
            <c:idx val="201"/>
            <c:bubble3D val="0"/>
          </c:dPt>
          <c:dPt>
            <c:idx val="202"/>
            <c:bubble3D val="0"/>
          </c:dPt>
          <c:dPt>
            <c:idx val="203"/>
            <c:bubble3D val="0"/>
          </c:dPt>
          <c:dPt>
            <c:idx val="204"/>
            <c:bubble3D val="0"/>
          </c:dPt>
          <c:dPt>
            <c:idx val="205"/>
            <c:bubble3D val="0"/>
          </c:dPt>
          <c:dPt>
            <c:idx val="206"/>
            <c:bubble3D val="0"/>
          </c:dPt>
          <c:dPt>
            <c:idx val="207"/>
            <c:bubble3D val="0"/>
          </c:dPt>
          <c:dPt>
            <c:idx val="208"/>
            <c:bubble3D val="0"/>
          </c:dPt>
          <c:dPt>
            <c:idx val="209"/>
            <c:bubble3D val="0"/>
          </c:dPt>
          <c:dPt>
            <c:idx val="210"/>
            <c:bubble3D val="0"/>
          </c:dPt>
          <c:dPt>
            <c:idx val="211"/>
            <c:bubble3D val="0"/>
          </c:dPt>
          <c:dPt>
            <c:idx val="212"/>
            <c:bubble3D val="0"/>
          </c:dPt>
          <c:dPt>
            <c:idx val="220"/>
            <c:bubble3D val="0"/>
          </c:dPt>
          <c:dPt>
            <c:idx val="221"/>
            <c:bubble3D val="0"/>
          </c:dPt>
          <c:dPt>
            <c:idx val="222"/>
            <c:bubble3D val="0"/>
          </c:dPt>
          <c:dPt>
            <c:idx val="223"/>
            <c:bubble3D val="0"/>
          </c:dPt>
          <c:dPt>
            <c:idx val="224"/>
            <c:bubble3D val="0"/>
          </c:dPt>
          <c:dPt>
            <c:idx val="225"/>
            <c:bubble3D val="0"/>
          </c:dPt>
          <c:dPt>
            <c:idx val="226"/>
            <c:bubble3D val="0"/>
          </c:dPt>
          <c:dPt>
            <c:idx val="227"/>
            <c:bubble3D val="0"/>
          </c:dPt>
          <c:dPt>
            <c:idx val="228"/>
            <c:bubble3D val="0"/>
          </c:dPt>
          <c:dPt>
            <c:idx val="229"/>
            <c:bubble3D val="0"/>
          </c:dPt>
          <c:dPt>
            <c:idx val="231"/>
            <c:bubble3D val="0"/>
          </c:dPt>
          <c:dPt>
            <c:idx val="232"/>
            <c:bubble3D val="0"/>
          </c:dPt>
          <c:dPt>
            <c:idx val="233"/>
            <c:bubble3D val="0"/>
          </c:dPt>
          <c:dPt>
            <c:idx val="234"/>
            <c:bubble3D val="0"/>
          </c:dPt>
          <c:dPt>
            <c:idx val="235"/>
            <c:bubble3D val="0"/>
          </c:dPt>
          <c:dPt>
            <c:idx val="236"/>
            <c:bubble3D val="0"/>
          </c:dPt>
          <c:dPt>
            <c:idx val="237"/>
            <c:bubble3D val="0"/>
          </c:dPt>
          <c:dPt>
            <c:idx val="238"/>
            <c:bubble3D val="0"/>
          </c:dPt>
          <c:dPt>
            <c:idx val="239"/>
            <c:bubble3D val="0"/>
          </c:dPt>
          <c:dPt>
            <c:idx val="240"/>
            <c:bubble3D val="0"/>
          </c:dPt>
          <c:dPt>
            <c:idx val="241"/>
            <c:bubble3D val="0"/>
          </c:dPt>
          <c:dPt>
            <c:idx val="242"/>
            <c:bubble3D val="0"/>
          </c:dPt>
          <c:cat>
            <c:numRef>
              <c:f>'Withclimat '!$A$2:$A$244</c:f>
              <c:numCache>
                <c:formatCode>[$-409]d\-mmm\-yy;@</c:formatCode>
                <c:ptCount val="243"/>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pt idx="31">
                  <c:v>40940</c:v>
                </c:pt>
                <c:pt idx="32">
                  <c:v>40941</c:v>
                </c:pt>
                <c:pt idx="33">
                  <c:v>40942</c:v>
                </c:pt>
                <c:pt idx="34">
                  <c:v>40943</c:v>
                </c:pt>
                <c:pt idx="35">
                  <c:v>40944</c:v>
                </c:pt>
                <c:pt idx="36">
                  <c:v>40945</c:v>
                </c:pt>
                <c:pt idx="37">
                  <c:v>40946</c:v>
                </c:pt>
                <c:pt idx="38">
                  <c:v>40947</c:v>
                </c:pt>
                <c:pt idx="39">
                  <c:v>40948</c:v>
                </c:pt>
                <c:pt idx="40">
                  <c:v>40949</c:v>
                </c:pt>
                <c:pt idx="41">
                  <c:v>40950</c:v>
                </c:pt>
                <c:pt idx="42">
                  <c:v>40951</c:v>
                </c:pt>
                <c:pt idx="43">
                  <c:v>40952</c:v>
                </c:pt>
                <c:pt idx="44">
                  <c:v>40953</c:v>
                </c:pt>
                <c:pt idx="45">
                  <c:v>40954</c:v>
                </c:pt>
                <c:pt idx="46">
                  <c:v>40955</c:v>
                </c:pt>
                <c:pt idx="47">
                  <c:v>40956</c:v>
                </c:pt>
                <c:pt idx="48">
                  <c:v>40957</c:v>
                </c:pt>
                <c:pt idx="49">
                  <c:v>40958</c:v>
                </c:pt>
                <c:pt idx="50">
                  <c:v>40959</c:v>
                </c:pt>
                <c:pt idx="51">
                  <c:v>40960</c:v>
                </c:pt>
                <c:pt idx="52">
                  <c:v>40961</c:v>
                </c:pt>
                <c:pt idx="53">
                  <c:v>40962</c:v>
                </c:pt>
                <c:pt idx="54">
                  <c:v>40963</c:v>
                </c:pt>
                <c:pt idx="55">
                  <c:v>40964</c:v>
                </c:pt>
                <c:pt idx="56">
                  <c:v>40965</c:v>
                </c:pt>
                <c:pt idx="57">
                  <c:v>40966</c:v>
                </c:pt>
                <c:pt idx="58">
                  <c:v>40967</c:v>
                </c:pt>
                <c:pt idx="59">
                  <c:v>40968</c:v>
                </c:pt>
                <c:pt idx="60">
                  <c:v>40969</c:v>
                </c:pt>
                <c:pt idx="61">
                  <c:v>40970</c:v>
                </c:pt>
                <c:pt idx="62">
                  <c:v>40971</c:v>
                </c:pt>
                <c:pt idx="63">
                  <c:v>40972</c:v>
                </c:pt>
                <c:pt idx="64">
                  <c:v>40973</c:v>
                </c:pt>
                <c:pt idx="65">
                  <c:v>40974</c:v>
                </c:pt>
                <c:pt idx="66">
                  <c:v>40975</c:v>
                </c:pt>
                <c:pt idx="67">
                  <c:v>40976</c:v>
                </c:pt>
                <c:pt idx="68">
                  <c:v>40977</c:v>
                </c:pt>
                <c:pt idx="69">
                  <c:v>40978</c:v>
                </c:pt>
                <c:pt idx="70">
                  <c:v>40979</c:v>
                </c:pt>
                <c:pt idx="71">
                  <c:v>40980</c:v>
                </c:pt>
                <c:pt idx="72">
                  <c:v>40981</c:v>
                </c:pt>
                <c:pt idx="73">
                  <c:v>40982</c:v>
                </c:pt>
                <c:pt idx="74">
                  <c:v>40983</c:v>
                </c:pt>
                <c:pt idx="75">
                  <c:v>40984</c:v>
                </c:pt>
                <c:pt idx="76">
                  <c:v>40985</c:v>
                </c:pt>
                <c:pt idx="77">
                  <c:v>40986</c:v>
                </c:pt>
                <c:pt idx="78">
                  <c:v>40987</c:v>
                </c:pt>
                <c:pt idx="79">
                  <c:v>40988</c:v>
                </c:pt>
                <c:pt idx="80">
                  <c:v>40989</c:v>
                </c:pt>
                <c:pt idx="81">
                  <c:v>40990</c:v>
                </c:pt>
                <c:pt idx="82">
                  <c:v>40991</c:v>
                </c:pt>
                <c:pt idx="83">
                  <c:v>40992</c:v>
                </c:pt>
                <c:pt idx="84">
                  <c:v>40993</c:v>
                </c:pt>
                <c:pt idx="85">
                  <c:v>40994</c:v>
                </c:pt>
                <c:pt idx="86">
                  <c:v>40995</c:v>
                </c:pt>
                <c:pt idx="87">
                  <c:v>40996</c:v>
                </c:pt>
                <c:pt idx="88">
                  <c:v>40997</c:v>
                </c:pt>
                <c:pt idx="89">
                  <c:v>40998</c:v>
                </c:pt>
                <c:pt idx="90">
                  <c:v>40999</c:v>
                </c:pt>
                <c:pt idx="92">
                  <c:v>41214</c:v>
                </c:pt>
                <c:pt idx="93">
                  <c:v>41215</c:v>
                </c:pt>
                <c:pt idx="94">
                  <c:v>41216</c:v>
                </c:pt>
                <c:pt idx="95">
                  <c:v>41217</c:v>
                </c:pt>
                <c:pt idx="96">
                  <c:v>41218</c:v>
                </c:pt>
                <c:pt idx="97">
                  <c:v>41219</c:v>
                </c:pt>
                <c:pt idx="98">
                  <c:v>41220</c:v>
                </c:pt>
                <c:pt idx="99">
                  <c:v>41221</c:v>
                </c:pt>
                <c:pt idx="100">
                  <c:v>41222</c:v>
                </c:pt>
                <c:pt idx="101">
                  <c:v>41223</c:v>
                </c:pt>
                <c:pt idx="102">
                  <c:v>41224</c:v>
                </c:pt>
                <c:pt idx="103">
                  <c:v>41590</c:v>
                </c:pt>
                <c:pt idx="104">
                  <c:v>41226</c:v>
                </c:pt>
                <c:pt idx="105">
                  <c:v>41227</c:v>
                </c:pt>
                <c:pt idx="106">
                  <c:v>41228</c:v>
                </c:pt>
                <c:pt idx="107">
                  <c:v>41229</c:v>
                </c:pt>
                <c:pt idx="108">
                  <c:v>41230</c:v>
                </c:pt>
                <c:pt idx="109">
                  <c:v>41231</c:v>
                </c:pt>
                <c:pt idx="110">
                  <c:v>41232</c:v>
                </c:pt>
                <c:pt idx="111">
                  <c:v>41233</c:v>
                </c:pt>
                <c:pt idx="112">
                  <c:v>41234</c:v>
                </c:pt>
                <c:pt idx="113">
                  <c:v>41235</c:v>
                </c:pt>
                <c:pt idx="114">
                  <c:v>41236</c:v>
                </c:pt>
                <c:pt idx="115">
                  <c:v>41237</c:v>
                </c:pt>
                <c:pt idx="116">
                  <c:v>41238</c:v>
                </c:pt>
                <c:pt idx="117">
                  <c:v>41239</c:v>
                </c:pt>
                <c:pt idx="118">
                  <c:v>41240</c:v>
                </c:pt>
                <c:pt idx="119">
                  <c:v>41241</c:v>
                </c:pt>
                <c:pt idx="120">
                  <c:v>41242</c:v>
                </c:pt>
                <c:pt idx="121">
                  <c:v>41243</c:v>
                </c:pt>
                <c:pt idx="122">
                  <c:v>41244</c:v>
                </c:pt>
                <c:pt idx="123">
                  <c:v>41245</c:v>
                </c:pt>
                <c:pt idx="124">
                  <c:v>41246</c:v>
                </c:pt>
                <c:pt idx="125">
                  <c:v>41247</c:v>
                </c:pt>
                <c:pt idx="126">
                  <c:v>41248</c:v>
                </c:pt>
                <c:pt idx="127">
                  <c:v>41249</c:v>
                </c:pt>
                <c:pt idx="128">
                  <c:v>41250</c:v>
                </c:pt>
                <c:pt idx="129">
                  <c:v>41251</c:v>
                </c:pt>
                <c:pt idx="130">
                  <c:v>41252</c:v>
                </c:pt>
                <c:pt idx="131">
                  <c:v>41253</c:v>
                </c:pt>
                <c:pt idx="132">
                  <c:v>41254</c:v>
                </c:pt>
                <c:pt idx="133">
                  <c:v>41255</c:v>
                </c:pt>
                <c:pt idx="134">
                  <c:v>41256</c:v>
                </c:pt>
                <c:pt idx="135">
                  <c:v>41257</c:v>
                </c:pt>
                <c:pt idx="136">
                  <c:v>41258</c:v>
                </c:pt>
                <c:pt idx="137">
                  <c:v>41259</c:v>
                </c:pt>
                <c:pt idx="138">
                  <c:v>41260</c:v>
                </c:pt>
                <c:pt idx="139">
                  <c:v>41261</c:v>
                </c:pt>
                <c:pt idx="140">
                  <c:v>41262</c:v>
                </c:pt>
                <c:pt idx="141">
                  <c:v>41263</c:v>
                </c:pt>
                <c:pt idx="142">
                  <c:v>41264</c:v>
                </c:pt>
                <c:pt idx="143">
                  <c:v>41265</c:v>
                </c:pt>
                <c:pt idx="144">
                  <c:v>41266</c:v>
                </c:pt>
                <c:pt idx="145">
                  <c:v>41267</c:v>
                </c:pt>
                <c:pt idx="146">
                  <c:v>41268</c:v>
                </c:pt>
                <c:pt idx="147">
                  <c:v>41269</c:v>
                </c:pt>
                <c:pt idx="148">
                  <c:v>41270</c:v>
                </c:pt>
                <c:pt idx="149">
                  <c:v>41271</c:v>
                </c:pt>
                <c:pt idx="150">
                  <c:v>41272</c:v>
                </c:pt>
                <c:pt idx="151">
                  <c:v>41273</c:v>
                </c:pt>
                <c:pt idx="152">
                  <c:v>41274</c:v>
                </c:pt>
                <c:pt idx="153">
                  <c:v>41275</c:v>
                </c:pt>
                <c:pt idx="154">
                  <c:v>41276</c:v>
                </c:pt>
                <c:pt idx="155">
                  <c:v>41277</c:v>
                </c:pt>
                <c:pt idx="156">
                  <c:v>41278</c:v>
                </c:pt>
                <c:pt idx="157">
                  <c:v>41279</c:v>
                </c:pt>
                <c:pt idx="158">
                  <c:v>41280</c:v>
                </c:pt>
                <c:pt idx="159">
                  <c:v>41281</c:v>
                </c:pt>
                <c:pt idx="160">
                  <c:v>41282</c:v>
                </c:pt>
                <c:pt idx="161">
                  <c:v>41283</c:v>
                </c:pt>
                <c:pt idx="162">
                  <c:v>41284</c:v>
                </c:pt>
                <c:pt idx="163">
                  <c:v>41285</c:v>
                </c:pt>
                <c:pt idx="164">
                  <c:v>41286</c:v>
                </c:pt>
                <c:pt idx="165">
                  <c:v>41287</c:v>
                </c:pt>
                <c:pt idx="166">
                  <c:v>41288</c:v>
                </c:pt>
                <c:pt idx="167">
                  <c:v>41289</c:v>
                </c:pt>
                <c:pt idx="168">
                  <c:v>41290</c:v>
                </c:pt>
                <c:pt idx="169">
                  <c:v>41291</c:v>
                </c:pt>
                <c:pt idx="170">
                  <c:v>41292</c:v>
                </c:pt>
                <c:pt idx="171">
                  <c:v>41293</c:v>
                </c:pt>
                <c:pt idx="172">
                  <c:v>41294</c:v>
                </c:pt>
                <c:pt idx="173">
                  <c:v>41295</c:v>
                </c:pt>
                <c:pt idx="174">
                  <c:v>41296</c:v>
                </c:pt>
                <c:pt idx="175">
                  <c:v>41297</c:v>
                </c:pt>
                <c:pt idx="176">
                  <c:v>41298</c:v>
                </c:pt>
                <c:pt idx="177">
                  <c:v>41299</c:v>
                </c:pt>
                <c:pt idx="178">
                  <c:v>41300</c:v>
                </c:pt>
                <c:pt idx="179">
                  <c:v>41301</c:v>
                </c:pt>
                <c:pt idx="180">
                  <c:v>41302</c:v>
                </c:pt>
                <c:pt idx="181">
                  <c:v>41303</c:v>
                </c:pt>
                <c:pt idx="182">
                  <c:v>41304</c:v>
                </c:pt>
                <c:pt idx="183">
                  <c:v>41305</c:v>
                </c:pt>
                <c:pt idx="184">
                  <c:v>41306</c:v>
                </c:pt>
                <c:pt idx="185">
                  <c:v>41307</c:v>
                </c:pt>
                <c:pt idx="186">
                  <c:v>41308</c:v>
                </c:pt>
                <c:pt idx="187">
                  <c:v>41309</c:v>
                </c:pt>
                <c:pt idx="188">
                  <c:v>41310</c:v>
                </c:pt>
                <c:pt idx="189">
                  <c:v>41311</c:v>
                </c:pt>
                <c:pt idx="190">
                  <c:v>41312</c:v>
                </c:pt>
                <c:pt idx="191">
                  <c:v>41313</c:v>
                </c:pt>
                <c:pt idx="192">
                  <c:v>41314</c:v>
                </c:pt>
                <c:pt idx="193">
                  <c:v>41315</c:v>
                </c:pt>
                <c:pt idx="194">
                  <c:v>41316</c:v>
                </c:pt>
                <c:pt idx="195">
                  <c:v>41317</c:v>
                </c:pt>
                <c:pt idx="196">
                  <c:v>41318</c:v>
                </c:pt>
                <c:pt idx="197">
                  <c:v>41319</c:v>
                </c:pt>
                <c:pt idx="198">
                  <c:v>41320</c:v>
                </c:pt>
                <c:pt idx="199">
                  <c:v>41321</c:v>
                </c:pt>
                <c:pt idx="200">
                  <c:v>41322</c:v>
                </c:pt>
                <c:pt idx="201">
                  <c:v>41323</c:v>
                </c:pt>
                <c:pt idx="202">
                  <c:v>41324</c:v>
                </c:pt>
                <c:pt idx="203">
                  <c:v>41325</c:v>
                </c:pt>
                <c:pt idx="204">
                  <c:v>41326</c:v>
                </c:pt>
                <c:pt idx="205">
                  <c:v>41327</c:v>
                </c:pt>
                <c:pt idx="206">
                  <c:v>41328</c:v>
                </c:pt>
                <c:pt idx="207">
                  <c:v>41329</c:v>
                </c:pt>
                <c:pt idx="208">
                  <c:v>41330</c:v>
                </c:pt>
                <c:pt idx="209">
                  <c:v>41331</c:v>
                </c:pt>
                <c:pt idx="210">
                  <c:v>41332</c:v>
                </c:pt>
                <c:pt idx="211">
                  <c:v>41333</c:v>
                </c:pt>
                <c:pt idx="212">
                  <c:v>41334</c:v>
                </c:pt>
                <c:pt idx="213">
                  <c:v>41335</c:v>
                </c:pt>
                <c:pt idx="214">
                  <c:v>41336</c:v>
                </c:pt>
                <c:pt idx="215">
                  <c:v>41337</c:v>
                </c:pt>
                <c:pt idx="216">
                  <c:v>41338</c:v>
                </c:pt>
                <c:pt idx="217">
                  <c:v>41339</c:v>
                </c:pt>
                <c:pt idx="218">
                  <c:v>41340</c:v>
                </c:pt>
                <c:pt idx="219">
                  <c:v>41341</c:v>
                </c:pt>
                <c:pt idx="220">
                  <c:v>41342</c:v>
                </c:pt>
                <c:pt idx="221">
                  <c:v>41343</c:v>
                </c:pt>
                <c:pt idx="222">
                  <c:v>41344</c:v>
                </c:pt>
                <c:pt idx="223">
                  <c:v>41345</c:v>
                </c:pt>
                <c:pt idx="224">
                  <c:v>41346</c:v>
                </c:pt>
                <c:pt idx="225">
                  <c:v>41347</c:v>
                </c:pt>
                <c:pt idx="226">
                  <c:v>41348</c:v>
                </c:pt>
                <c:pt idx="227">
                  <c:v>41349</c:v>
                </c:pt>
                <c:pt idx="228">
                  <c:v>41350</c:v>
                </c:pt>
                <c:pt idx="229">
                  <c:v>41351</c:v>
                </c:pt>
                <c:pt idx="230">
                  <c:v>41352</c:v>
                </c:pt>
                <c:pt idx="231">
                  <c:v>41353</c:v>
                </c:pt>
                <c:pt idx="232">
                  <c:v>41354</c:v>
                </c:pt>
                <c:pt idx="233">
                  <c:v>41355</c:v>
                </c:pt>
                <c:pt idx="234">
                  <c:v>41356</c:v>
                </c:pt>
                <c:pt idx="235">
                  <c:v>41357</c:v>
                </c:pt>
                <c:pt idx="236">
                  <c:v>41358</c:v>
                </c:pt>
                <c:pt idx="237">
                  <c:v>41359</c:v>
                </c:pt>
                <c:pt idx="238">
                  <c:v>41360</c:v>
                </c:pt>
                <c:pt idx="239">
                  <c:v>41361</c:v>
                </c:pt>
                <c:pt idx="240">
                  <c:v>41362</c:v>
                </c:pt>
                <c:pt idx="241">
                  <c:v>41363</c:v>
                </c:pt>
                <c:pt idx="242">
                  <c:v>41364</c:v>
                </c:pt>
              </c:numCache>
            </c:numRef>
          </c:cat>
          <c:val>
            <c:numRef>
              <c:f>'Withclimat '!$B$2:$B$244</c:f>
              <c:numCache>
                <c:formatCode>General</c:formatCode>
                <c:ptCount val="243"/>
                <c:pt idx="0">
                  <c:v>1</c:v>
                </c:pt>
                <c:pt idx="1">
                  <c:v>3</c:v>
                </c:pt>
                <c:pt idx="2">
                  <c:v>3</c:v>
                </c:pt>
                <c:pt idx="3">
                  <c:v>1</c:v>
                </c:pt>
                <c:pt idx="4">
                  <c:v>4</c:v>
                </c:pt>
                <c:pt idx="5">
                  <c:v>13</c:v>
                </c:pt>
                <c:pt idx="6">
                  <c:v>4</c:v>
                </c:pt>
                <c:pt idx="7">
                  <c:v>2</c:v>
                </c:pt>
                <c:pt idx="8">
                  <c:v>1</c:v>
                </c:pt>
                <c:pt idx="9">
                  <c:v>1</c:v>
                </c:pt>
                <c:pt idx="10">
                  <c:v>2</c:v>
                </c:pt>
                <c:pt idx="11">
                  <c:v>15</c:v>
                </c:pt>
                <c:pt idx="12">
                  <c:v>8</c:v>
                </c:pt>
                <c:pt idx="13">
                  <c:v>2</c:v>
                </c:pt>
                <c:pt idx="14">
                  <c:v>5</c:v>
                </c:pt>
                <c:pt idx="15">
                  <c:v>5</c:v>
                </c:pt>
                <c:pt idx="16">
                  <c:v>17</c:v>
                </c:pt>
                <c:pt idx="17">
                  <c:v>17</c:v>
                </c:pt>
                <c:pt idx="18">
                  <c:v>5</c:v>
                </c:pt>
                <c:pt idx="19">
                  <c:v>21</c:v>
                </c:pt>
                <c:pt idx="20">
                  <c:v>3</c:v>
                </c:pt>
                <c:pt idx="21">
                  <c:v>3</c:v>
                </c:pt>
                <c:pt idx="22">
                  <c:v>18</c:v>
                </c:pt>
                <c:pt idx="23">
                  <c:v>10</c:v>
                </c:pt>
                <c:pt idx="24">
                  <c:v>15</c:v>
                </c:pt>
                <c:pt idx="25">
                  <c:v>11</c:v>
                </c:pt>
                <c:pt idx="26">
                  <c:v>12</c:v>
                </c:pt>
                <c:pt idx="27">
                  <c:v>2</c:v>
                </c:pt>
                <c:pt idx="28">
                  <c:v>2</c:v>
                </c:pt>
                <c:pt idx="29">
                  <c:v>20</c:v>
                </c:pt>
                <c:pt idx="30">
                  <c:v>27</c:v>
                </c:pt>
                <c:pt idx="31">
                  <c:v>9</c:v>
                </c:pt>
                <c:pt idx="32">
                  <c:v>7</c:v>
                </c:pt>
                <c:pt idx="33">
                  <c:v>6</c:v>
                </c:pt>
                <c:pt idx="34">
                  <c:v>0</c:v>
                </c:pt>
                <c:pt idx="35">
                  <c:v>2</c:v>
                </c:pt>
                <c:pt idx="36">
                  <c:v>6</c:v>
                </c:pt>
                <c:pt idx="37">
                  <c:v>5</c:v>
                </c:pt>
                <c:pt idx="38">
                  <c:v>2</c:v>
                </c:pt>
                <c:pt idx="39">
                  <c:v>4</c:v>
                </c:pt>
                <c:pt idx="40">
                  <c:v>1</c:v>
                </c:pt>
                <c:pt idx="41">
                  <c:v>3</c:v>
                </c:pt>
                <c:pt idx="42">
                  <c:v>0</c:v>
                </c:pt>
                <c:pt idx="43">
                  <c:v>3</c:v>
                </c:pt>
                <c:pt idx="44">
                  <c:v>6</c:v>
                </c:pt>
                <c:pt idx="45">
                  <c:v>2</c:v>
                </c:pt>
                <c:pt idx="46">
                  <c:v>1</c:v>
                </c:pt>
                <c:pt idx="47">
                  <c:v>2</c:v>
                </c:pt>
                <c:pt idx="48">
                  <c:v>4</c:v>
                </c:pt>
                <c:pt idx="49">
                  <c:v>2</c:v>
                </c:pt>
                <c:pt idx="50">
                  <c:v>0</c:v>
                </c:pt>
                <c:pt idx="51">
                  <c:v>5</c:v>
                </c:pt>
                <c:pt idx="52">
                  <c:v>3</c:v>
                </c:pt>
                <c:pt idx="53">
                  <c:v>5</c:v>
                </c:pt>
                <c:pt idx="54">
                  <c:v>3</c:v>
                </c:pt>
                <c:pt idx="55">
                  <c:v>10</c:v>
                </c:pt>
                <c:pt idx="56">
                  <c:v>1</c:v>
                </c:pt>
                <c:pt idx="57">
                  <c:v>6</c:v>
                </c:pt>
                <c:pt idx="58">
                  <c:v>6</c:v>
                </c:pt>
                <c:pt idx="59">
                  <c:v>2</c:v>
                </c:pt>
                <c:pt idx="60">
                  <c:v>21</c:v>
                </c:pt>
                <c:pt idx="61">
                  <c:v>6</c:v>
                </c:pt>
                <c:pt idx="62">
                  <c:v>3</c:v>
                </c:pt>
                <c:pt idx="63">
                  <c:v>6</c:v>
                </c:pt>
                <c:pt idx="64">
                  <c:v>18</c:v>
                </c:pt>
                <c:pt idx="65">
                  <c:v>8</c:v>
                </c:pt>
                <c:pt idx="66">
                  <c:v>3</c:v>
                </c:pt>
                <c:pt idx="67">
                  <c:v>4</c:v>
                </c:pt>
                <c:pt idx="68">
                  <c:v>3</c:v>
                </c:pt>
                <c:pt idx="69">
                  <c:v>0</c:v>
                </c:pt>
                <c:pt idx="70">
                  <c:v>0</c:v>
                </c:pt>
                <c:pt idx="71">
                  <c:v>1</c:v>
                </c:pt>
                <c:pt idx="72">
                  <c:v>1</c:v>
                </c:pt>
                <c:pt idx="73">
                  <c:v>1</c:v>
                </c:pt>
                <c:pt idx="74">
                  <c:v>4</c:v>
                </c:pt>
                <c:pt idx="75">
                  <c:v>1</c:v>
                </c:pt>
                <c:pt idx="76">
                  <c:v>0</c:v>
                </c:pt>
                <c:pt idx="77">
                  <c:v>0</c:v>
                </c:pt>
                <c:pt idx="78">
                  <c:v>1</c:v>
                </c:pt>
                <c:pt idx="79">
                  <c:v>1</c:v>
                </c:pt>
                <c:pt idx="80">
                  <c:v>1</c:v>
                </c:pt>
                <c:pt idx="81">
                  <c:v>2</c:v>
                </c:pt>
                <c:pt idx="82">
                  <c:v>0</c:v>
                </c:pt>
                <c:pt idx="83">
                  <c:v>0</c:v>
                </c:pt>
                <c:pt idx="84">
                  <c:v>0</c:v>
                </c:pt>
                <c:pt idx="85">
                  <c:v>0</c:v>
                </c:pt>
                <c:pt idx="86">
                  <c:v>1</c:v>
                </c:pt>
                <c:pt idx="87">
                  <c:v>0</c:v>
                </c:pt>
                <c:pt idx="88">
                  <c:v>0</c:v>
                </c:pt>
                <c:pt idx="89">
                  <c:v>1</c:v>
                </c:pt>
                <c:pt idx="90">
                  <c:v>1</c:v>
                </c:pt>
                <c:pt idx="92">
                  <c:v>0</c:v>
                </c:pt>
                <c:pt idx="93">
                  <c:v>0</c:v>
                </c:pt>
                <c:pt idx="94">
                  <c:v>0</c:v>
                </c:pt>
                <c:pt idx="95">
                  <c:v>1</c:v>
                </c:pt>
                <c:pt idx="96">
                  <c:v>0</c:v>
                </c:pt>
                <c:pt idx="97">
                  <c:v>2</c:v>
                </c:pt>
                <c:pt idx="98">
                  <c:v>0</c:v>
                </c:pt>
                <c:pt idx="99">
                  <c:v>2</c:v>
                </c:pt>
                <c:pt idx="100">
                  <c:v>1</c:v>
                </c:pt>
                <c:pt idx="101">
                  <c:v>1</c:v>
                </c:pt>
                <c:pt idx="102">
                  <c:v>0</c:v>
                </c:pt>
                <c:pt idx="103">
                  <c:v>0</c:v>
                </c:pt>
                <c:pt idx="104">
                  <c:v>1</c:v>
                </c:pt>
                <c:pt idx="105">
                  <c:v>2</c:v>
                </c:pt>
                <c:pt idx="106">
                  <c:v>0</c:v>
                </c:pt>
                <c:pt idx="107">
                  <c:v>2</c:v>
                </c:pt>
                <c:pt idx="108">
                  <c:v>1</c:v>
                </c:pt>
                <c:pt idx="109">
                  <c:v>0</c:v>
                </c:pt>
                <c:pt idx="110">
                  <c:v>3</c:v>
                </c:pt>
                <c:pt idx="111">
                  <c:v>1</c:v>
                </c:pt>
                <c:pt idx="112">
                  <c:v>0</c:v>
                </c:pt>
                <c:pt idx="113">
                  <c:v>0</c:v>
                </c:pt>
                <c:pt idx="114">
                  <c:v>0</c:v>
                </c:pt>
                <c:pt idx="115">
                  <c:v>0</c:v>
                </c:pt>
                <c:pt idx="116">
                  <c:v>0</c:v>
                </c:pt>
                <c:pt idx="117">
                  <c:v>0</c:v>
                </c:pt>
                <c:pt idx="118">
                  <c:v>0</c:v>
                </c:pt>
                <c:pt idx="119">
                  <c:v>0</c:v>
                </c:pt>
                <c:pt idx="120">
                  <c:v>1</c:v>
                </c:pt>
                <c:pt idx="121">
                  <c:v>2</c:v>
                </c:pt>
                <c:pt idx="122">
                  <c:v>2</c:v>
                </c:pt>
                <c:pt idx="123">
                  <c:v>3</c:v>
                </c:pt>
                <c:pt idx="124">
                  <c:v>3</c:v>
                </c:pt>
                <c:pt idx="125">
                  <c:v>0</c:v>
                </c:pt>
                <c:pt idx="126">
                  <c:v>0</c:v>
                </c:pt>
                <c:pt idx="127">
                  <c:v>0</c:v>
                </c:pt>
                <c:pt idx="128">
                  <c:v>0</c:v>
                </c:pt>
                <c:pt idx="129">
                  <c:v>1</c:v>
                </c:pt>
                <c:pt idx="130">
                  <c:v>1</c:v>
                </c:pt>
                <c:pt idx="131">
                  <c:v>13</c:v>
                </c:pt>
                <c:pt idx="132">
                  <c:v>3</c:v>
                </c:pt>
                <c:pt idx="133">
                  <c:v>5</c:v>
                </c:pt>
                <c:pt idx="134">
                  <c:v>2</c:v>
                </c:pt>
                <c:pt idx="135">
                  <c:v>2</c:v>
                </c:pt>
                <c:pt idx="136">
                  <c:v>2</c:v>
                </c:pt>
                <c:pt idx="137">
                  <c:v>0</c:v>
                </c:pt>
                <c:pt idx="138">
                  <c:v>18</c:v>
                </c:pt>
                <c:pt idx="139">
                  <c:v>5</c:v>
                </c:pt>
                <c:pt idx="140">
                  <c:v>4</c:v>
                </c:pt>
                <c:pt idx="141">
                  <c:v>7</c:v>
                </c:pt>
                <c:pt idx="142">
                  <c:v>4</c:v>
                </c:pt>
                <c:pt idx="143">
                  <c:v>0</c:v>
                </c:pt>
                <c:pt idx="144">
                  <c:v>0</c:v>
                </c:pt>
                <c:pt idx="145">
                  <c:v>3</c:v>
                </c:pt>
                <c:pt idx="146">
                  <c:v>2</c:v>
                </c:pt>
                <c:pt idx="147">
                  <c:v>8</c:v>
                </c:pt>
                <c:pt idx="148">
                  <c:v>15</c:v>
                </c:pt>
                <c:pt idx="149">
                  <c:v>8</c:v>
                </c:pt>
                <c:pt idx="150">
                  <c:v>5</c:v>
                </c:pt>
                <c:pt idx="151">
                  <c:v>6</c:v>
                </c:pt>
                <c:pt idx="152">
                  <c:v>5</c:v>
                </c:pt>
                <c:pt idx="153">
                  <c:v>1</c:v>
                </c:pt>
                <c:pt idx="154">
                  <c:v>4</c:v>
                </c:pt>
                <c:pt idx="155">
                  <c:v>9</c:v>
                </c:pt>
                <c:pt idx="156">
                  <c:v>3</c:v>
                </c:pt>
                <c:pt idx="157">
                  <c:v>3</c:v>
                </c:pt>
                <c:pt idx="158">
                  <c:v>2</c:v>
                </c:pt>
                <c:pt idx="159">
                  <c:v>9</c:v>
                </c:pt>
                <c:pt idx="160">
                  <c:v>5</c:v>
                </c:pt>
                <c:pt idx="161">
                  <c:v>6</c:v>
                </c:pt>
                <c:pt idx="162">
                  <c:v>10</c:v>
                </c:pt>
                <c:pt idx="163">
                  <c:v>12</c:v>
                </c:pt>
                <c:pt idx="164">
                  <c:v>3</c:v>
                </c:pt>
                <c:pt idx="165">
                  <c:v>1</c:v>
                </c:pt>
                <c:pt idx="166">
                  <c:v>5</c:v>
                </c:pt>
                <c:pt idx="167">
                  <c:v>4</c:v>
                </c:pt>
                <c:pt idx="168">
                  <c:v>35</c:v>
                </c:pt>
                <c:pt idx="169">
                  <c:v>12</c:v>
                </c:pt>
                <c:pt idx="170">
                  <c:v>1</c:v>
                </c:pt>
                <c:pt idx="171">
                  <c:v>0</c:v>
                </c:pt>
                <c:pt idx="172">
                  <c:v>2</c:v>
                </c:pt>
                <c:pt idx="173">
                  <c:v>5</c:v>
                </c:pt>
                <c:pt idx="174">
                  <c:v>3</c:v>
                </c:pt>
                <c:pt idx="175">
                  <c:v>2</c:v>
                </c:pt>
                <c:pt idx="176">
                  <c:v>3</c:v>
                </c:pt>
                <c:pt idx="177">
                  <c:v>3</c:v>
                </c:pt>
                <c:pt idx="178">
                  <c:v>1</c:v>
                </c:pt>
                <c:pt idx="179">
                  <c:v>1</c:v>
                </c:pt>
                <c:pt idx="180">
                  <c:v>2</c:v>
                </c:pt>
                <c:pt idx="181">
                  <c:v>8</c:v>
                </c:pt>
                <c:pt idx="182">
                  <c:v>15</c:v>
                </c:pt>
                <c:pt idx="183">
                  <c:v>3</c:v>
                </c:pt>
                <c:pt idx="184">
                  <c:v>3</c:v>
                </c:pt>
                <c:pt idx="185">
                  <c:v>0</c:v>
                </c:pt>
                <c:pt idx="186">
                  <c:v>1</c:v>
                </c:pt>
                <c:pt idx="187">
                  <c:v>2</c:v>
                </c:pt>
                <c:pt idx="188">
                  <c:v>1</c:v>
                </c:pt>
                <c:pt idx="189">
                  <c:v>4</c:v>
                </c:pt>
                <c:pt idx="190">
                  <c:v>0</c:v>
                </c:pt>
                <c:pt idx="191">
                  <c:v>6</c:v>
                </c:pt>
                <c:pt idx="192">
                  <c:v>6</c:v>
                </c:pt>
                <c:pt idx="193">
                  <c:v>6</c:v>
                </c:pt>
                <c:pt idx="194">
                  <c:v>26</c:v>
                </c:pt>
                <c:pt idx="195">
                  <c:v>9</c:v>
                </c:pt>
                <c:pt idx="196">
                  <c:v>8</c:v>
                </c:pt>
                <c:pt idx="197">
                  <c:v>7</c:v>
                </c:pt>
                <c:pt idx="198">
                  <c:v>4</c:v>
                </c:pt>
                <c:pt idx="199">
                  <c:v>2</c:v>
                </c:pt>
                <c:pt idx="200">
                  <c:v>6</c:v>
                </c:pt>
                <c:pt idx="201">
                  <c:v>7</c:v>
                </c:pt>
                <c:pt idx="202">
                  <c:v>6</c:v>
                </c:pt>
                <c:pt idx="203">
                  <c:v>8</c:v>
                </c:pt>
                <c:pt idx="204">
                  <c:v>9</c:v>
                </c:pt>
                <c:pt idx="205">
                  <c:v>1</c:v>
                </c:pt>
                <c:pt idx="206">
                  <c:v>6</c:v>
                </c:pt>
                <c:pt idx="207">
                  <c:v>11</c:v>
                </c:pt>
                <c:pt idx="208">
                  <c:v>16</c:v>
                </c:pt>
                <c:pt idx="209">
                  <c:v>5</c:v>
                </c:pt>
                <c:pt idx="210">
                  <c:v>12</c:v>
                </c:pt>
                <c:pt idx="211">
                  <c:v>3</c:v>
                </c:pt>
                <c:pt idx="212">
                  <c:v>10</c:v>
                </c:pt>
                <c:pt idx="213">
                  <c:v>2</c:v>
                </c:pt>
                <c:pt idx="214">
                  <c:v>1</c:v>
                </c:pt>
                <c:pt idx="215">
                  <c:v>5</c:v>
                </c:pt>
                <c:pt idx="216">
                  <c:v>2</c:v>
                </c:pt>
                <c:pt idx="217">
                  <c:v>0</c:v>
                </c:pt>
                <c:pt idx="218">
                  <c:v>3</c:v>
                </c:pt>
                <c:pt idx="219">
                  <c:v>5</c:v>
                </c:pt>
                <c:pt idx="220">
                  <c:v>1</c:v>
                </c:pt>
                <c:pt idx="221">
                  <c:v>1</c:v>
                </c:pt>
                <c:pt idx="222">
                  <c:v>1</c:v>
                </c:pt>
                <c:pt idx="223">
                  <c:v>0</c:v>
                </c:pt>
                <c:pt idx="224">
                  <c:v>2</c:v>
                </c:pt>
                <c:pt idx="225">
                  <c:v>3</c:v>
                </c:pt>
                <c:pt idx="226">
                  <c:v>2</c:v>
                </c:pt>
                <c:pt idx="227">
                  <c:v>0</c:v>
                </c:pt>
                <c:pt idx="228">
                  <c:v>2</c:v>
                </c:pt>
                <c:pt idx="229">
                  <c:v>1</c:v>
                </c:pt>
                <c:pt idx="230">
                  <c:v>6</c:v>
                </c:pt>
                <c:pt idx="231">
                  <c:v>14</c:v>
                </c:pt>
                <c:pt idx="232">
                  <c:v>2</c:v>
                </c:pt>
                <c:pt idx="233">
                  <c:v>0</c:v>
                </c:pt>
                <c:pt idx="234">
                  <c:v>0</c:v>
                </c:pt>
                <c:pt idx="235">
                  <c:v>2</c:v>
                </c:pt>
                <c:pt idx="236">
                  <c:v>1</c:v>
                </c:pt>
                <c:pt idx="237">
                  <c:v>2</c:v>
                </c:pt>
                <c:pt idx="238">
                  <c:v>1</c:v>
                </c:pt>
                <c:pt idx="239">
                  <c:v>1</c:v>
                </c:pt>
                <c:pt idx="240">
                  <c:v>1</c:v>
                </c:pt>
                <c:pt idx="241">
                  <c:v>0</c:v>
                </c:pt>
                <c:pt idx="242">
                  <c:v>0</c:v>
                </c:pt>
              </c:numCache>
            </c:numRef>
          </c:val>
          <c:smooth val="0"/>
        </c:ser>
        <c:dLbls>
          <c:showLegendKey val="0"/>
          <c:showVal val="0"/>
          <c:showCatName val="0"/>
          <c:showSerName val="0"/>
          <c:showPercent val="0"/>
          <c:showBubbleSize val="0"/>
        </c:dLbls>
        <c:marker val="1"/>
        <c:smooth val="0"/>
        <c:axId val="54120832"/>
        <c:axId val="54122752"/>
      </c:lineChart>
      <c:catAx>
        <c:axId val="54120832"/>
        <c:scaling>
          <c:orientation val="minMax"/>
        </c:scaling>
        <c:delete val="0"/>
        <c:axPos val="b"/>
        <c:title>
          <c:tx>
            <c:rich>
              <a:bodyPr/>
              <a:lstStyle/>
              <a:p>
                <a:pPr>
                  <a:defRPr baseline="0">
                    <a:solidFill>
                      <a:schemeClr val="tx2">
                        <a:lumMod val="50000"/>
                      </a:schemeClr>
                    </a:solidFill>
                  </a:defRPr>
                </a:pPr>
                <a:r>
                  <a:rPr lang="en-US" baseline="0">
                    <a:solidFill>
                      <a:schemeClr val="tx2">
                        <a:lumMod val="50000"/>
                      </a:schemeClr>
                    </a:solidFill>
                  </a:rPr>
                  <a:t>Date</a:t>
                </a:r>
              </a:p>
            </c:rich>
          </c:tx>
          <c:layout/>
          <c:overlay val="0"/>
        </c:title>
        <c:numFmt formatCode="[$-409]d\-mmm\-yy;@" sourceLinked="1"/>
        <c:majorTickMark val="out"/>
        <c:minorTickMark val="none"/>
        <c:tickLblPos val="nextTo"/>
        <c:txPr>
          <a:bodyPr/>
          <a:lstStyle/>
          <a:p>
            <a:pPr>
              <a:defRPr baseline="0">
                <a:solidFill>
                  <a:schemeClr val="tx2">
                    <a:lumMod val="50000"/>
                  </a:schemeClr>
                </a:solidFill>
              </a:defRPr>
            </a:pPr>
            <a:endParaRPr lang="en-US"/>
          </a:p>
        </c:txPr>
        <c:crossAx val="54122752"/>
        <c:crosses val="autoZero"/>
        <c:auto val="0"/>
        <c:lblAlgn val="ctr"/>
        <c:lblOffset val="100"/>
        <c:noMultiLvlLbl val="0"/>
      </c:catAx>
      <c:valAx>
        <c:axId val="54122752"/>
        <c:scaling>
          <c:orientation val="minMax"/>
        </c:scaling>
        <c:delete val="0"/>
        <c:axPos val="l"/>
        <c:numFmt formatCode="General" sourceLinked="1"/>
        <c:majorTickMark val="out"/>
        <c:minorTickMark val="none"/>
        <c:tickLblPos val="nextTo"/>
        <c:txPr>
          <a:bodyPr/>
          <a:lstStyle/>
          <a:p>
            <a:pPr>
              <a:defRPr>
                <a:solidFill>
                  <a:srgbClr val="002060"/>
                </a:solidFill>
              </a:defRPr>
            </a:pPr>
            <a:endParaRPr lang="en-US"/>
          </a:p>
        </c:txPr>
        <c:crossAx val="54120832"/>
        <c:crosses val="autoZero"/>
        <c:crossBetween val="between"/>
      </c:valAx>
      <c:spPr>
        <a:noFill/>
        <a:ln w="25400">
          <a:noFill/>
        </a:ln>
      </c:spPr>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0.02011</cdr:x>
      <cdr:y>0.0601</cdr:y>
    </cdr:from>
    <cdr:to>
      <cdr:x>0.96292</cdr:x>
      <cdr:y>0.20091</cdr:y>
    </cdr:to>
    <cdr:sp macro="" textlink="">
      <cdr:nvSpPr>
        <cdr:cNvPr id="2" name="TextBox 1"/>
        <cdr:cNvSpPr txBox="1"/>
      </cdr:nvSpPr>
      <cdr:spPr>
        <a:xfrm xmlns:a="http://schemas.openxmlformats.org/drawingml/2006/main">
          <a:off x="66675" y="133382"/>
          <a:ext cx="3125117" cy="3125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a:solidFill>
                <a:schemeClr val="tx2">
                  <a:lumMod val="50000"/>
                </a:schemeClr>
              </a:solidFill>
            </a:rPr>
            <a:t>Figure 1: Maine Lost Time Injuries from Slips</a:t>
          </a:r>
          <a:r>
            <a:rPr lang="en-US" sz="1100" baseline="0">
              <a:solidFill>
                <a:schemeClr val="tx2">
                  <a:lumMod val="50000"/>
                </a:schemeClr>
              </a:solidFill>
            </a:rPr>
            <a:t> and Falls*</a:t>
          </a:r>
        </a:p>
      </cdr:txBody>
    </cdr:sp>
  </cdr:relSizeAnchor>
</c:userShapes>
</file>

<file path=word/drawings/drawing10.xml><?xml version="1.0" encoding="utf-8"?>
<c:userShapes xmlns:c="http://schemas.openxmlformats.org/drawingml/2006/chart">
  <cdr:relSizeAnchor xmlns:cdr="http://schemas.openxmlformats.org/drawingml/2006/chartDrawing">
    <cdr:from>
      <cdr:x>0.05446</cdr:x>
      <cdr:y>0.04865</cdr:y>
    </cdr:from>
    <cdr:to>
      <cdr:x>0.93462</cdr:x>
      <cdr:y>0.1258</cdr:y>
    </cdr:to>
    <cdr:sp macro="" textlink="">
      <cdr:nvSpPr>
        <cdr:cNvPr id="2" name="TextBox 1"/>
        <cdr:cNvSpPr txBox="1"/>
      </cdr:nvSpPr>
      <cdr:spPr>
        <a:xfrm xmlns:a="http://schemas.openxmlformats.org/drawingml/2006/main">
          <a:off x="277571" y="187860"/>
          <a:ext cx="4486303" cy="2979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tx2">
                  <a:lumMod val="50000"/>
                </a:schemeClr>
              </a:solidFill>
            </a:rPr>
            <a:t>Figure 10: Hourly Incidence of Ice/Snow-Related Injuries by Percentage*</a:t>
          </a:r>
        </a:p>
      </cdr:txBody>
    </cdr:sp>
  </cdr:relSizeAnchor>
</c:userShapes>
</file>

<file path=word/drawings/drawing2.xml><?xml version="1.0" encoding="utf-8"?>
<c:userShapes xmlns:c="http://schemas.openxmlformats.org/drawingml/2006/chart">
  <cdr:relSizeAnchor xmlns:cdr="http://schemas.openxmlformats.org/drawingml/2006/chartDrawing">
    <cdr:from>
      <cdr:x>0.17812</cdr:x>
      <cdr:y>0.02964</cdr:y>
    </cdr:from>
    <cdr:to>
      <cdr:x>0.79688</cdr:x>
      <cdr:y>0.12451</cdr:y>
    </cdr:to>
    <cdr:sp macro="" textlink="">
      <cdr:nvSpPr>
        <cdr:cNvPr id="2" name="TextBox 1"/>
        <cdr:cNvSpPr txBox="1"/>
      </cdr:nvSpPr>
      <cdr:spPr>
        <a:xfrm xmlns:a="http://schemas.openxmlformats.org/drawingml/2006/main">
          <a:off x="814387" y="142875"/>
          <a:ext cx="2828926"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0.15771</cdr:x>
      <cdr:y>0.04546</cdr:y>
    </cdr:from>
    <cdr:to>
      <cdr:x>0.87522</cdr:x>
      <cdr:y>0.15657</cdr:y>
    </cdr:to>
    <cdr:sp macro="" textlink="">
      <cdr:nvSpPr>
        <cdr:cNvPr id="3" name="TextBox 2"/>
        <cdr:cNvSpPr txBox="1"/>
      </cdr:nvSpPr>
      <cdr:spPr>
        <a:xfrm xmlns:a="http://schemas.openxmlformats.org/drawingml/2006/main">
          <a:off x="866775" y="171467"/>
          <a:ext cx="3943349" cy="4190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aseline="0">
              <a:solidFill>
                <a:schemeClr val="tx2">
                  <a:lumMod val="50000"/>
                </a:schemeClr>
              </a:solidFill>
              <a:effectLst/>
              <a:latin typeface="+mn-lt"/>
              <a:ea typeface="+mn-ea"/>
              <a:cs typeface="+mn-cs"/>
            </a:rPr>
            <a:t>Figure 3: Ice/Snow-Related Slips and Falls by Industry Type*</a:t>
          </a:r>
          <a:endParaRPr lang="en-US" baseline="0">
            <a:solidFill>
              <a:schemeClr val="tx2">
                <a:lumMod val="50000"/>
              </a:schemeClr>
            </a:solidFill>
            <a:effectLst/>
          </a:endParaRPr>
        </a:p>
        <a:p xmlns:a="http://schemas.openxmlformats.org/drawingml/2006/main">
          <a:endParaRPr 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0.13158</cdr:x>
      <cdr:y>0.04167</cdr:y>
    </cdr:from>
    <cdr:to>
      <cdr:x>0.94071</cdr:x>
      <cdr:y>0.12664</cdr:y>
    </cdr:to>
    <cdr:sp macro="" textlink="">
      <cdr:nvSpPr>
        <cdr:cNvPr id="2" name="TextBox 1"/>
        <cdr:cNvSpPr txBox="1"/>
      </cdr:nvSpPr>
      <cdr:spPr>
        <a:xfrm xmlns:a="http://schemas.openxmlformats.org/drawingml/2006/main">
          <a:off x="782058" y="147306"/>
          <a:ext cx="4809117" cy="3003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0" baseline="0">
              <a:effectLst/>
              <a:latin typeface="+mn-lt"/>
              <a:ea typeface="+mn-ea"/>
              <a:cs typeface="+mn-cs"/>
            </a:rPr>
            <a:t>Figure 4: Reported Surfaces of Ice/Snow -Related Slips or Falls *</a:t>
          </a:r>
          <a:endParaRPr lang="en-US">
            <a:effectLst/>
          </a:endParaRPr>
        </a:p>
        <a:p xmlns:a="http://schemas.openxmlformats.org/drawingml/2006/main">
          <a:endParaRPr 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0.02973</cdr:y>
    </cdr:from>
    <cdr:to>
      <cdr:x>0.97327</cdr:x>
      <cdr:y>0.19935</cdr:y>
    </cdr:to>
    <cdr:sp macro="" textlink="">
      <cdr:nvSpPr>
        <cdr:cNvPr id="2" name="TextBox 1"/>
        <cdr:cNvSpPr txBox="1"/>
      </cdr:nvSpPr>
      <cdr:spPr>
        <a:xfrm xmlns:a="http://schemas.openxmlformats.org/drawingml/2006/main">
          <a:off x="0" y="86653"/>
          <a:ext cx="3633996" cy="4943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50">
              <a:solidFill>
                <a:schemeClr val="tx2">
                  <a:lumMod val="50000"/>
                </a:schemeClr>
              </a:solidFill>
              <a:effectLst/>
              <a:latin typeface="+mn-lt"/>
              <a:ea typeface="+mn-ea"/>
              <a:cs typeface="+mn-cs"/>
            </a:rPr>
            <a:t>Figure 5: Worker Activity When Ice/Snow-Related Injuries</a:t>
          </a:r>
          <a:r>
            <a:rPr lang="en-US" sz="1050" baseline="0">
              <a:solidFill>
                <a:schemeClr val="tx2">
                  <a:lumMod val="50000"/>
                </a:schemeClr>
              </a:solidFill>
              <a:effectLst/>
              <a:latin typeface="+mn-lt"/>
              <a:ea typeface="+mn-ea"/>
              <a:cs typeface="+mn-cs"/>
            </a:rPr>
            <a:t> </a:t>
          </a:r>
          <a:r>
            <a:rPr lang="en-US" sz="1050">
              <a:solidFill>
                <a:schemeClr val="tx2">
                  <a:lumMod val="50000"/>
                </a:schemeClr>
              </a:solidFill>
              <a:effectLst/>
              <a:latin typeface="+mn-lt"/>
              <a:ea typeface="+mn-ea"/>
              <a:cs typeface="+mn-cs"/>
            </a:rPr>
            <a:t>Occurred*</a:t>
          </a:r>
          <a:endParaRPr lang="en-US" sz="1050" b="1">
            <a:solidFill>
              <a:schemeClr val="tx2">
                <a:lumMod val="50000"/>
              </a:schemeClr>
            </a:solidFill>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0.16189</cdr:x>
      <cdr:y>0.01551</cdr:y>
    </cdr:from>
    <cdr:to>
      <cdr:x>0.86695</cdr:x>
      <cdr:y>0.14098</cdr:y>
    </cdr:to>
    <cdr:sp macro="" textlink="">
      <cdr:nvSpPr>
        <cdr:cNvPr id="2" name="TextBox 1"/>
        <cdr:cNvSpPr txBox="1"/>
      </cdr:nvSpPr>
      <cdr:spPr>
        <a:xfrm xmlns:a="http://schemas.openxmlformats.org/drawingml/2006/main">
          <a:off x="832681" y="45058"/>
          <a:ext cx="3626476" cy="3645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050">
              <a:solidFill>
                <a:schemeClr val="tx2">
                  <a:lumMod val="50000"/>
                </a:schemeClr>
              </a:solidFill>
              <a:effectLst/>
              <a:latin typeface="+mn-lt"/>
              <a:ea typeface="+mn-ea"/>
              <a:cs typeface="+mn-cs"/>
            </a:rPr>
            <a:t>Figure</a:t>
          </a:r>
          <a:r>
            <a:rPr lang="en-US" sz="1050" baseline="0">
              <a:solidFill>
                <a:schemeClr val="tx2">
                  <a:lumMod val="50000"/>
                </a:schemeClr>
              </a:solidFill>
              <a:effectLst/>
              <a:latin typeface="+mn-lt"/>
              <a:ea typeface="+mn-ea"/>
              <a:cs typeface="+mn-cs"/>
            </a:rPr>
            <a:t> 6: </a:t>
          </a:r>
          <a:r>
            <a:rPr lang="en-US" sz="1050">
              <a:solidFill>
                <a:schemeClr val="tx2">
                  <a:lumMod val="50000"/>
                </a:schemeClr>
              </a:solidFill>
              <a:effectLst/>
              <a:latin typeface="+mn-lt"/>
              <a:ea typeface="+mn-ea"/>
              <a:cs typeface="+mn-cs"/>
            </a:rPr>
            <a:t>Nature of Ice/Snow-Related Injuries</a:t>
          </a:r>
          <a:r>
            <a:rPr lang="en-US" sz="1050" b="1" baseline="0">
              <a:solidFill>
                <a:schemeClr val="tx2">
                  <a:lumMod val="50000"/>
                </a:schemeClr>
              </a:solidFill>
              <a:effectLst/>
              <a:latin typeface="+mn-lt"/>
              <a:ea typeface="+mn-ea"/>
              <a:cs typeface="+mn-cs"/>
            </a:rPr>
            <a:t>*</a:t>
          </a:r>
          <a:endParaRPr lang="en-US" sz="1050" b="1">
            <a:solidFill>
              <a:schemeClr val="tx2">
                <a:lumMod val="50000"/>
              </a:schemeClr>
            </a:solidFill>
          </a:endParaRPr>
        </a:p>
      </cdr:txBody>
    </cdr:sp>
  </cdr:relSizeAnchor>
  <cdr:relSizeAnchor xmlns:cdr="http://schemas.openxmlformats.org/drawingml/2006/chartDrawing">
    <cdr:from>
      <cdr:x>0.02206</cdr:x>
      <cdr:y>0.19032</cdr:y>
    </cdr:from>
    <cdr:to>
      <cdr:x>0.08606</cdr:x>
      <cdr:y>0.6667</cdr:y>
    </cdr:to>
    <cdr:sp macro="" textlink="">
      <cdr:nvSpPr>
        <cdr:cNvPr id="3" name="TextBox 1"/>
        <cdr:cNvSpPr txBox="1"/>
      </cdr:nvSpPr>
      <cdr:spPr>
        <a:xfrm xmlns:a="http://schemas.openxmlformats.org/drawingml/2006/main">
          <a:off x="146958" y="605972"/>
          <a:ext cx="426356" cy="1516743"/>
        </a:xfrm>
        <a:prstGeom xmlns:a="http://schemas.openxmlformats.org/drawingml/2006/main" prst="rect">
          <a:avLst/>
        </a:prstGeom>
      </cdr:spPr>
    </cdr:sp>
  </cdr:relSizeAnchor>
  <cdr:relSizeAnchor xmlns:cdr="http://schemas.openxmlformats.org/drawingml/2006/chartDrawing">
    <cdr:from>
      <cdr:x>0</cdr:x>
      <cdr:y>0.18007</cdr:y>
    </cdr:from>
    <cdr:to>
      <cdr:x>0.04527</cdr:x>
      <cdr:y>0.60737</cdr:y>
    </cdr:to>
    <cdr:sp macro="" textlink="">
      <cdr:nvSpPr>
        <cdr:cNvPr id="4" name="TextBox 1"/>
        <cdr:cNvSpPr txBox="1"/>
      </cdr:nvSpPr>
      <cdr:spPr>
        <a:xfrm xmlns:a="http://schemas.openxmlformats.org/drawingml/2006/main">
          <a:off x="0" y="573315"/>
          <a:ext cx="286065" cy="1360481"/>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en-US"/>
            <a:t>Number of Injuries</a:t>
          </a:r>
        </a:p>
      </cdr:txBody>
    </cdr:sp>
  </cdr:relSizeAnchor>
</c:userShapes>
</file>

<file path=word/drawings/drawing7.xml><?xml version="1.0" encoding="utf-8"?>
<c:userShapes xmlns:c="http://schemas.openxmlformats.org/drawingml/2006/chart">
  <cdr:relSizeAnchor xmlns:cdr="http://schemas.openxmlformats.org/drawingml/2006/chartDrawing">
    <cdr:from>
      <cdr:x>0.03717</cdr:x>
      <cdr:y>0.17723</cdr:y>
    </cdr:from>
    <cdr:to>
      <cdr:x>0.08791</cdr:x>
      <cdr:y>0.61155</cdr:y>
    </cdr:to>
    <cdr:sp macro="" textlink="">
      <cdr:nvSpPr>
        <cdr:cNvPr id="2" name="TextBox 1"/>
        <cdr:cNvSpPr txBox="1"/>
      </cdr:nvSpPr>
      <cdr:spPr>
        <a:xfrm xmlns:a="http://schemas.openxmlformats.org/drawingml/2006/main">
          <a:off x="220924" y="555172"/>
          <a:ext cx="301589" cy="1360481"/>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solidFill>
                <a:schemeClr val="tx2">
                  <a:lumMod val="75000"/>
                </a:schemeClr>
              </a:solidFill>
            </a:rPr>
            <a:t>Number of Injuries</a:t>
          </a:r>
        </a:p>
      </cdr:txBody>
    </cdr:sp>
  </cdr:relSizeAnchor>
  <cdr:relSizeAnchor xmlns:cdr="http://schemas.openxmlformats.org/drawingml/2006/chartDrawing">
    <cdr:from>
      <cdr:x>0.03841</cdr:x>
      <cdr:y>0.79789</cdr:y>
    </cdr:from>
    <cdr:to>
      <cdr:x>0.15737</cdr:x>
      <cdr:y>1</cdr:y>
    </cdr:to>
    <cdr:sp macro="" textlink="">
      <cdr:nvSpPr>
        <cdr:cNvPr id="3" name="TextBox 2"/>
        <cdr:cNvSpPr txBox="1"/>
      </cdr:nvSpPr>
      <cdr:spPr>
        <a:xfrm xmlns:a="http://schemas.openxmlformats.org/drawingml/2006/main">
          <a:off x="295274" y="3895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0.27757</cdr:x>
      <cdr:y>0.02381</cdr:y>
    </cdr:from>
    <cdr:to>
      <cdr:x>0.73482</cdr:x>
      <cdr:y>0.14286</cdr:y>
    </cdr:to>
    <cdr:sp macro="" textlink="">
      <cdr:nvSpPr>
        <cdr:cNvPr id="5" name="TextBox 4"/>
        <cdr:cNvSpPr txBox="1"/>
      </cdr:nvSpPr>
      <cdr:spPr>
        <a:xfrm xmlns:a="http://schemas.openxmlformats.org/drawingml/2006/main">
          <a:off x="2133598" y="104773"/>
          <a:ext cx="3514725" cy="5238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a:solidFill>
                <a:schemeClr val="tx2">
                  <a:lumMod val="75000"/>
                </a:schemeClr>
              </a:solidFill>
            </a:rPr>
            <a:t>Figure 7: Body Parts</a:t>
          </a:r>
          <a:r>
            <a:rPr lang="en-US" sz="1100" baseline="0">
              <a:solidFill>
                <a:schemeClr val="tx2">
                  <a:lumMod val="75000"/>
                </a:schemeClr>
              </a:solidFill>
            </a:rPr>
            <a:t> Injured by Slips and Falls on Ice/Snow*</a:t>
          </a:r>
        </a:p>
      </cdr:txBody>
    </cdr:sp>
  </cdr:relSizeAnchor>
  <cdr:relSizeAnchor xmlns:cdr="http://schemas.openxmlformats.org/drawingml/2006/chartDrawing">
    <cdr:from>
      <cdr:x>0.6019</cdr:x>
      <cdr:y>0.93073</cdr:y>
    </cdr:from>
    <cdr:to>
      <cdr:x>0.9563</cdr:x>
      <cdr:y>0.99006</cdr:y>
    </cdr:to>
    <cdr:sp macro="" textlink="">
      <cdr:nvSpPr>
        <cdr:cNvPr id="4" name="TextBox 3"/>
        <cdr:cNvSpPr txBox="1"/>
      </cdr:nvSpPr>
      <cdr:spPr>
        <a:xfrm xmlns:a="http://schemas.openxmlformats.org/drawingml/2006/main">
          <a:off x="4122117" y="3359922"/>
          <a:ext cx="2427092" cy="2141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solidFill>
                <a:schemeClr val="tx2">
                  <a:lumMod val="50000"/>
                </a:schemeClr>
              </a:solidFill>
            </a:rPr>
            <a:t>*January 2012 through June 2013</a:t>
          </a:r>
        </a:p>
      </cdr:txBody>
    </cdr:sp>
  </cdr:relSizeAnchor>
</c:userShapes>
</file>

<file path=word/drawings/drawing8.xml><?xml version="1.0" encoding="utf-8"?>
<c:userShapes xmlns:c="http://schemas.openxmlformats.org/drawingml/2006/chart">
  <cdr:relSizeAnchor xmlns:cdr="http://schemas.openxmlformats.org/drawingml/2006/chartDrawing">
    <cdr:from>
      <cdr:x>0.04551</cdr:x>
      <cdr:y>0.20912</cdr:y>
    </cdr:from>
    <cdr:to>
      <cdr:x>0.10262</cdr:x>
      <cdr:y>0.67779</cdr:y>
    </cdr:to>
    <cdr:sp macro="" textlink="">
      <cdr:nvSpPr>
        <cdr:cNvPr id="2" name="TextBox 1"/>
        <cdr:cNvSpPr txBox="1"/>
      </cdr:nvSpPr>
      <cdr:spPr>
        <a:xfrm xmlns:a="http://schemas.openxmlformats.org/drawingml/2006/main">
          <a:off x="244928" y="770855"/>
          <a:ext cx="307344" cy="17276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000" baseline="0">
              <a:solidFill>
                <a:schemeClr val="tx2">
                  <a:lumMod val="50000"/>
                </a:schemeClr>
              </a:solidFill>
            </a:rPr>
            <a:t>Number of Days</a:t>
          </a:r>
        </a:p>
      </cdr:txBody>
    </cdr:sp>
  </cdr:relSizeAnchor>
</c:userShapes>
</file>

<file path=word/drawings/drawing9.xml><?xml version="1.0" encoding="utf-8"?>
<c:userShapes xmlns:c="http://schemas.openxmlformats.org/drawingml/2006/chart">
  <cdr:relSizeAnchor xmlns:cdr="http://schemas.openxmlformats.org/drawingml/2006/chartDrawing">
    <cdr:from>
      <cdr:x>0.12614</cdr:x>
      <cdr:y>0.17439</cdr:y>
    </cdr:from>
    <cdr:to>
      <cdr:x>0.96777</cdr:x>
      <cdr:y>0.17507</cdr:y>
    </cdr:to>
    <cdr:cxnSp macro="">
      <cdr:nvCxnSpPr>
        <cdr:cNvPr id="3" name="Straight Connector 2"/>
        <cdr:cNvCxnSpPr/>
      </cdr:nvCxnSpPr>
      <cdr:spPr>
        <a:xfrm xmlns:a="http://schemas.openxmlformats.org/drawingml/2006/main">
          <a:off x="790575" y="752475"/>
          <a:ext cx="5274875" cy="292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0.35107</cdr:x>
      <cdr:y>0.12243</cdr:y>
    </cdr:from>
    <cdr:to>
      <cdr:x>0.5351</cdr:x>
      <cdr:y>0.17439</cdr:y>
    </cdr:to>
    <cdr:sp macro="" textlink="">
      <cdr:nvSpPr>
        <cdr:cNvPr id="4" name="TextBox 3"/>
        <cdr:cNvSpPr txBox="1"/>
      </cdr:nvSpPr>
      <cdr:spPr>
        <a:xfrm xmlns:a="http://schemas.openxmlformats.org/drawingml/2006/main">
          <a:off x="2200309" y="528264"/>
          <a:ext cx="1153399" cy="2242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solidFill>
                <a:schemeClr val="tx2">
                  <a:lumMod val="75000"/>
                </a:schemeClr>
              </a:solidFill>
            </a:rPr>
            <a:t>Sustained Subfreezing</a:t>
          </a:r>
        </a:p>
      </cdr:txBody>
    </cdr:sp>
  </cdr:relSizeAnchor>
  <cdr:relSizeAnchor xmlns:cdr="http://schemas.openxmlformats.org/drawingml/2006/chartDrawing">
    <cdr:from>
      <cdr:x>0.12614</cdr:x>
      <cdr:y>0.32327</cdr:y>
    </cdr:from>
    <cdr:to>
      <cdr:x>0.95815</cdr:x>
      <cdr:y>0.3245</cdr:y>
    </cdr:to>
    <cdr:cxnSp macro="">
      <cdr:nvCxnSpPr>
        <cdr:cNvPr id="6" name="Straight Connector 5"/>
        <cdr:cNvCxnSpPr/>
      </cdr:nvCxnSpPr>
      <cdr:spPr>
        <a:xfrm xmlns:a="http://schemas.openxmlformats.org/drawingml/2006/main" flipV="1">
          <a:off x="790575" y="1394844"/>
          <a:ext cx="5214582" cy="533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0.35043</cdr:x>
      <cdr:y>0.2785</cdr:y>
    </cdr:from>
    <cdr:to>
      <cdr:x>0.49164</cdr:x>
      <cdr:y>0.33273</cdr:y>
    </cdr:to>
    <cdr:sp macro="" textlink="">
      <cdr:nvSpPr>
        <cdr:cNvPr id="7" name="TextBox 6"/>
        <cdr:cNvSpPr txBox="1"/>
      </cdr:nvSpPr>
      <cdr:spPr>
        <a:xfrm xmlns:a="http://schemas.openxmlformats.org/drawingml/2006/main">
          <a:off x="2082787" y="1201307"/>
          <a:ext cx="839296" cy="2339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solidFill>
                <a:schemeClr val="tx2">
                  <a:lumMod val="75000"/>
                </a:schemeClr>
              </a:solidFill>
            </a:rPr>
            <a:t>Snowfall</a:t>
          </a:r>
        </a:p>
      </cdr:txBody>
    </cdr:sp>
  </cdr:relSizeAnchor>
  <cdr:relSizeAnchor xmlns:cdr="http://schemas.openxmlformats.org/drawingml/2006/chartDrawing">
    <cdr:from>
      <cdr:x>0.12614</cdr:x>
      <cdr:y>0.46578</cdr:y>
    </cdr:from>
    <cdr:to>
      <cdr:x>0.96857</cdr:x>
      <cdr:y>0.46927</cdr:y>
    </cdr:to>
    <cdr:cxnSp macro="">
      <cdr:nvCxnSpPr>
        <cdr:cNvPr id="9" name="Straight Connector 8"/>
        <cdr:cNvCxnSpPr/>
      </cdr:nvCxnSpPr>
      <cdr:spPr>
        <a:xfrm xmlns:a="http://schemas.openxmlformats.org/drawingml/2006/main">
          <a:off x="790575" y="2009775"/>
          <a:ext cx="5279889" cy="1504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0.34188</cdr:x>
      <cdr:y>0.42989</cdr:y>
    </cdr:from>
    <cdr:to>
      <cdr:x>0.47729</cdr:x>
      <cdr:y>0.46338</cdr:y>
    </cdr:to>
    <cdr:sp macro="" textlink="">
      <cdr:nvSpPr>
        <cdr:cNvPr id="10" name="TextBox 9"/>
        <cdr:cNvSpPr txBox="1"/>
      </cdr:nvSpPr>
      <cdr:spPr>
        <a:xfrm xmlns:a="http://schemas.openxmlformats.org/drawingml/2006/main">
          <a:off x="2032013" y="1854357"/>
          <a:ext cx="804823" cy="1444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solidFill>
                <a:schemeClr val="tx2">
                  <a:lumMod val="75000"/>
                </a:schemeClr>
              </a:solidFill>
            </a:rPr>
            <a:t>Freeze/Thaw</a:t>
          </a:r>
        </a:p>
      </cdr:txBody>
    </cdr:sp>
  </cdr:relSizeAnchor>
  <cdr:relSizeAnchor xmlns:cdr="http://schemas.openxmlformats.org/drawingml/2006/chartDrawing">
    <cdr:from>
      <cdr:x>0.1231</cdr:x>
      <cdr:y>0.62031</cdr:y>
    </cdr:from>
    <cdr:to>
      <cdr:x>1</cdr:x>
      <cdr:y>0.62385</cdr:y>
    </cdr:to>
    <cdr:cxnSp macro="">
      <cdr:nvCxnSpPr>
        <cdr:cNvPr id="14" name="Straight Connector 13"/>
        <cdr:cNvCxnSpPr/>
      </cdr:nvCxnSpPr>
      <cdr:spPr>
        <a:xfrm xmlns:a="http://schemas.openxmlformats.org/drawingml/2006/main">
          <a:off x="771525" y="2676525"/>
          <a:ext cx="5495925" cy="1527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0.34794</cdr:x>
      <cdr:y>0.57368</cdr:y>
    </cdr:from>
    <cdr:to>
      <cdr:x>0.49493</cdr:x>
      <cdr:y>0.61196</cdr:y>
    </cdr:to>
    <cdr:sp macro="" textlink="">
      <cdr:nvSpPr>
        <cdr:cNvPr id="15" name="TextBox 14"/>
        <cdr:cNvSpPr txBox="1"/>
      </cdr:nvSpPr>
      <cdr:spPr>
        <a:xfrm xmlns:a="http://schemas.openxmlformats.org/drawingml/2006/main">
          <a:off x="2068001" y="2474596"/>
          <a:ext cx="873650" cy="165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solidFill>
                <a:schemeClr val="tx2">
                  <a:lumMod val="75000"/>
                </a:schemeClr>
              </a:solidFill>
            </a:rPr>
            <a:t>Warming Trend</a:t>
          </a:r>
        </a:p>
      </cdr:txBody>
    </cdr:sp>
  </cdr:relSizeAnchor>
  <cdr:relSizeAnchor xmlns:cdr="http://schemas.openxmlformats.org/drawingml/2006/chartDrawing">
    <cdr:from>
      <cdr:x>0.45137</cdr:x>
      <cdr:y>0.17881</cdr:y>
    </cdr:from>
    <cdr:to>
      <cdr:x>0.45289</cdr:x>
      <cdr:y>0.90949</cdr:y>
    </cdr:to>
    <cdr:cxnSp macro="">
      <cdr:nvCxnSpPr>
        <cdr:cNvPr id="5" name="Straight Connector 4"/>
        <cdr:cNvCxnSpPr/>
      </cdr:nvCxnSpPr>
      <cdr:spPr>
        <a:xfrm xmlns:a="http://schemas.openxmlformats.org/drawingml/2006/main" flipV="1">
          <a:off x="2828925" y="771526"/>
          <a:ext cx="9526" cy="3152774"/>
        </a:xfrm>
        <a:prstGeom xmlns:a="http://schemas.openxmlformats.org/drawingml/2006/main" prst="line">
          <a:avLst/>
        </a:prstGeom>
        <a:ln xmlns:a="http://schemas.openxmlformats.org/drawingml/2006/main">
          <a:solidFill>
            <a:schemeClr val="tx2">
              <a:lumMod val="7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0E5A7-01F8-40D4-8F16-7A73FAF4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1785</Words>
  <Characters>9766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Maine’s Annual Report on</vt:lpstr>
    </vt:vector>
  </TitlesOfParts>
  <Company>State of Maine, DAFS</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Maine’s Annual Report on</dc:title>
  <dc:creator>State of Maine</dc:creator>
  <cp:lastModifiedBy>Jennifer Smith</cp:lastModifiedBy>
  <cp:revision>7</cp:revision>
  <cp:lastPrinted>2013-11-08T18:17:00Z</cp:lastPrinted>
  <dcterms:created xsi:type="dcterms:W3CDTF">2013-11-08T18:10:00Z</dcterms:created>
  <dcterms:modified xsi:type="dcterms:W3CDTF">2013-11-08T18:25:00Z</dcterms:modified>
</cp:coreProperties>
</file>