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CD" w:rsidRPr="00E509C5" w:rsidRDefault="00D648CD" w:rsidP="00E509C5">
      <w:pPr>
        <w:pStyle w:val="Heading1"/>
      </w:pPr>
    </w:p>
    <w:p w:rsidR="00E509C5" w:rsidRDefault="00E509C5" w:rsidP="00E509C5"/>
    <w:p w:rsidR="00E509C5" w:rsidRPr="00E509C5" w:rsidRDefault="00E509C5" w:rsidP="00E509C5"/>
    <w:p w:rsidR="00D648CD" w:rsidRDefault="006F63FB" w:rsidP="006F63FB">
      <w:pPr>
        <w:pStyle w:val="Heading1"/>
        <w:jc w:val="right"/>
      </w:pPr>
      <w:r>
        <w:rPr>
          <w:noProof/>
        </w:rPr>
        <w:drawing>
          <wp:inline distT="0" distB="0" distL="0" distR="0" wp14:anchorId="73376CA6" wp14:editId="3050177D">
            <wp:extent cx="2635357" cy="2625842"/>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S.jpg"/>
                    <pic:cNvPicPr/>
                  </pic:nvPicPr>
                  <pic:blipFill>
                    <a:blip r:embed="rId8">
                      <a:extLst>
                        <a:ext uri="{28A0092B-C50C-407E-A947-70E740481C1C}">
                          <a14:useLocalDpi xmlns:a14="http://schemas.microsoft.com/office/drawing/2010/main" val="0"/>
                        </a:ext>
                      </a:extLst>
                    </a:blip>
                    <a:stretch>
                      <a:fillRect/>
                    </a:stretch>
                  </pic:blipFill>
                  <pic:spPr>
                    <a:xfrm>
                      <a:off x="0" y="0"/>
                      <a:ext cx="2655781" cy="2646192"/>
                    </a:xfrm>
                    <a:prstGeom prst="rect">
                      <a:avLst/>
                    </a:prstGeom>
                  </pic:spPr>
                </pic:pic>
              </a:graphicData>
            </a:graphic>
          </wp:inline>
        </w:drawing>
      </w:r>
    </w:p>
    <w:p w:rsidR="00D648CD" w:rsidRDefault="00D648CD" w:rsidP="007B3611">
      <w:pPr>
        <w:pStyle w:val="Coverbyline"/>
      </w:pPr>
      <w:r>
        <w:t>Report on</w:t>
      </w:r>
    </w:p>
    <w:tbl>
      <w:tblPr>
        <w:tblW w:w="0" w:type="auto"/>
        <w:tblBorders>
          <w:top w:val="single" w:sz="4" w:space="0" w:color="auto"/>
          <w:left w:val="single" w:sz="4" w:space="0" w:color="auto"/>
          <w:bottom w:val="single" w:sz="4" w:space="0" w:color="auto"/>
          <w:right w:val="single" w:sz="4" w:space="0" w:color="auto"/>
        </w:tblBorders>
        <w:shd w:val="clear" w:color="auto" w:fill="005954"/>
        <w:tblCellMar>
          <w:left w:w="115" w:type="dxa"/>
          <w:bottom w:w="14" w:type="dxa"/>
          <w:right w:w="115" w:type="dxa"/>
        </w:tblCellMar>
        <w:tblLook w:val="01E0" w:firstRow="1" w:lastRow="1" w:firstColumn="1" w:lastColumn="1" w:noHBand="0" w:noVBand="0"/>
      </w:tblPr>
      <w:tblGrid>
        <w:gridCol w:w="10454"/>
      </w:tblGrid>
      <w:tr w:rsidR="00D648CD" w:rsidTr="00365FD4">
        <w:trPr>
          <w:trHeight w:val="720"/>
        </w:trPr>
        <w:tc>
          <w:tcPr>
            <w:tcW w:w="11016" w:type="dxa"/>
            <w:tcBorders>
              <w:top w:val="nil"/>
              <w:left w:val="nil"/>
              <w:bottom w:val="nil"/>
              <w:right w:val="nil"/>
              <w:tl2br w:val="nil"/>
              <w:tr2bl w:val="nil"/>
            </w:tcBorders>
            <w:shd w:val="clear" w:color="auto" w:fill="005954"/>
            <w:vAlign w:val="center"/>
          </w:tcPr>
          <w:p w:rsidR="00D648CD" w:rsidRDefault="00610D47" w:rsidP="00E718E4">
            <w:pPr>
              <w:pStyle w:val="Heading1"/>
              <w:autoSpaceDE w:val="0"/>
            </w:pPr>
            <w:r>
              <w:rPr>
                <w:color w:val="FFFFFF" w:themeColor="background1"/>
              </w:rPr>
              <w:t>Maine Employer Drug Testing Survey</w:t>
            </w:r>
            <w:r w:rsidR="006F63FB">
              <w:rPr>
                <w:color w:val="FFFFFF" w:themeColor="background1"/>
              </w:rPr>
              <w:t xml:space="preserve"> -</w:t>
            </w:r>
            <w:r>
              <w:rPr>
                <w:color w:val="FFFFFF" w:themeColor="background1"/>
              </w:rPr>
              <w:t xml:space="preserve"> 2014</w:t>
            </w:r>
          </w:p>
        </w:tc>
      </w:tr>
    </w:tbl>
    <w:p w:rsidR="00D648CD" w:rsidRDefault="004C10FF" w:rsidP="00E718E4">
      <w:pPr>
        <w:pStyle w:val="Heading3"/>
        <w:autoSpaceDE w:val="0"/>
      </w:pPr>
      <w:r>
        <w:t>December</w:t>
      </w:r>
      <w:bookmarkStart w:id="0" w:name="_GoBack"/>
      <w:bookmarkEnd w:id="0"/>
      <w:r w:rsidR="00195AEB">
        <w:t xml:space="preserve"> 201</w:t>
      </w:r>
      <w:r w:rsidR="00610D47">
        <w:t>4</w:t>
      </w:r>
    </w:p>
    <w:p w:rsidR="00D648CD" w:rsidRDefault="00D648CD" w:rsidP="00D648CD">
      <w:pPr>
        <w:pStyle w:val="Heading3"/>
      </w:pPr>
    </w:p>
    <w:p w:rsidR="00D648CD" w:rsidRDefault="00D648CD" w:rsidP="007B3611">
      <w:pPr>
        <w:pStyle w:val="Coverbyline"/>
      </w:pPr>
    </w:p>
    <w:p w:rsidR="00D648CD" w:rsidRDefault="00D648CD" w:rsidP="007B3611">
      <w:pPr>
        <w:pStyle w:val="Coverbyline"/>
      </w:pPr>
    </w:p>
    <w:p w:rsidR="00D648CD" w:rsidRDefault="00D648CD" w:rsidP="007B3611">
      <w:pPr>
        <w:pStyle w:val="Coverbyline"/>
      </w:pPr>
    </w:p>
    <w:p w:rsidR="00D648CD" w:rsidRDefault="00966547" w:rsidP="008C7B5A">
      <w:pPr>
        <w:pStyle w:val="Coverbyline"/>
      </w:pPr>
      <w:r>
        <w:t>Submitted b</w:t>
      </w:r>
      <w:r w:rsidR="00D648CD">
        <w:t>y</w:t>
      </w:r>
    </w:p>
    <w:p w:rsidR="00D648CD" w:rsidRDefault="00D648CD" w:rsidP="008C7B5A">
      <w:pPr>
        <w:pStyle w:val="Coverbyline"/>
      </w:pPr>
      <w:r>
        <w:t>Maine Department of Labor</w:t>
      </w:r>
    </w:p>
    <w:p w:rsidR="006F63FB" w:rsidRDefault="00D648CD" w:rsidP="008C7B5A">
      <w:pPr>
        <w:pStyle w:val="Coverbyline"/>
      </w:pPr>
      <w:r>
        <w:t xml:space="preserve">Bureau of </w:t>
      </w:r>
      <w:r w:rsidR="002C1B06">
        <w:t>L</w:t>
      </w:r>
      <w:r w:rsidR="00610D47">
        <w:t>abor Standards</w:t>
      </w:r>
    </w:p>
    <w:p w:rsidR="006F63FB" w:rsidRDefault="006F63FB" w:rsidP="006F63FB">
      <w:pPr>
        <w:rPr>
          <w:rFonts w:ascii="Tw Cen MT Condensed" w:hAnsi="Tw Cen MT Condensed" w:cs="Arial"/>
          <w:kern w:val="32"/>
          <w:sz w:val="40"/>
          <w:szCs w:val="28"/>
        </w:rPr>
      </w:pPr>
      <w:r>
        <w:br w:type="page"/>
      </w:r>
    </w:p>
    <w:p w:rsidR="006F63FB" w:rsidRDefault="006F63FB" w:rsidP="006F63FB">
      <w:pPr>
        <w:pStyle w:val="DefaultText"/>
        <w:spacing w:line="360" w:lineRule="auto"/>
        <w:jc w:val="center"/>
        <w:rPr>
          <w:rFonts w:ascii="Tw Cen MT" w:hAnsi="Tw Cen MT" w:cstheme="minorHAnsi"/>
          <w:b/>
          <w:sz w:val="72"/>
        </w:rPr>
      </w:pPr>
    </w:p>
    <w:p w:rsidR="006F63FB" w:rsidRDefault="006F63FB" w:rsidP="006F63FB">
      <w:pPr>
        <w:pStyle w:val="DefaultText"/>
        <w:spacing w:line="360" w:lineRule="auto"/>
        <w:jc w:val="center"/>
        <w:rPr>
          <w:rFonts w:ascii="Tw Cen MT" w:hAnsi="Tw Cen MT" w:cstheme="minorHAnsi"/>
          <w:b/>
          <w:sz w:val="72"/>
        </w:rPr>
      </w:pPr>
    </w:p>
    <w:p w:rsidR="006F63FB" w:rsidRDefault="006F63FB" w:rsidP="006F63FB">
      <w:pPr>
        <w:pStyle w:val="DefaultText"/>
        <w:spacing w:line="360" w:lineRule="auto"/>
        <w:jc w:val="center"/>
        <w:rPr>
          <w:rFonts w:ascii="Tw Cen MT" w:hAnsi="Tw Cen MT" w:cstheme="minorHAnsi"/>
          <w:b/>
          <w:sz w:val="72"/>
        </w:rPr>
      </w:pPr>
    </w:p>
    <w:p w:rsidR="006F63FB" w:rsidRDefault="006F63FB" w:rsidP="006F63FB">
      <w:pPr>
        <w:pStyle w:val="DefaultText"/>
        <w:spacing w:line="360" w:lineRule="auto"/>
        <w:jc w:val="center"/>
        <w:rPr>
          <w:rFonts w:ascii="Tw Cen MT" w:hAnsi="Tw Cen MT" w:cstheme="minorHAnsi"/>
          <w:b/>
          <w:sz w:val="72"/>
        </w:rPr>
      </w:pPr>
    </w:p>
    <w:p w:rsidR="006F63FB" w:rsidRPr="008F53BB" w:rsidRDefault="006F63FB" w:rsidP="006F63FB">
      <w:pPr>
        <w:pStyle w:val="DefaultText"/>
        <w:spacing w:line="360" w:lineRule="auto"/>
        <w:jc w:val="center"/>
        <w:rPr>
          <w:rFonts w:ascii="Tw Cen MT" w:hAnsi="Tw Cen MT" w:cstheme="minorHAnsi"/>
          <w:b/>
          <w:sz w:val="72"/>
        </w:rPr>
      </w:pPr>
      <w:r>
        <w:rPr>
          <w:rFonts w:ascii="Tw Cen MT" w:hAnsi="Tw Cen MT" w:cstheme="minorHAnsi"/>
          <w:b/>
          <w:sz w:val="72"/>
        </w:rPr>
        <w:t>Employer Drug Testing Survey</w:t>
      </w:r>
    </w:p>
    <w:p w:rsidR="006F63FB" w:rsidRPr="008F53BB" w:rsidRDefault="006F63FB" w:rsidP="006F63FB">
      <w:pPr>
        <w:pStyle w:val="DefaultText"/>
        <w:jc w:val="center"/>
        <w:rPr>
          <w:rFonts w:ascii="Tw Cen MT" w:hAnsi="Tw Cen MT" w:cstheme="minorHAnsi"/>
          <w:b/>
          <w:sz w:val="72"/>
        </w:rPr>
      </w:pPr>
      <w:r w:rsidRPr="008F53BB">
        <w:rPr>
          <w:rFonts w:ascii="Tw Cen MT" w:hAnsi="Tw Cen MT" w:cstheme="minorHAnsi"/>
          <w:b/>
          <w:sz w:val="72"/>
        </w:rPr>
        <w:t>201</w:t>
      </w:r>
      <w:r>
        <w:rPr>
          <w:rFonts w:ascii="Tw Cen MT" w:hAnsi="Tw Cen MT" w:cstheme="minorHAnsi"/>
          <w:b/>
          <w:sz w:val="72"/>
        </w:rPr>
        <w:t>4</w:t>
      </w:r>
    </w:p>
    <w:p w:rsidR="006F63FB" w:rsidRDefault="006F63FB" w:rsidP="006F63FB">
      <w:pPr>
        <w:pStyle w:val="DefaultText"/>
        <w:jc w:val="center"/>
        <w:rPr>
          <w:rFonts w:ascii="Tw Cen MT" w:hAnsi="Tw Cen MT" w:cstheme="minorHAnsi"/>
          <w:b/>
        </w:rPr>
      </w:pPr>
    </w:p>
    <w:p w:rsidR="006F63FB" w:rsidRDefault="006F63FB" w:rsidP="006F63FB">
      <w:pPr>
        <w:pStyle w:val="DefaultText"/>
        <w:jc w:val="center"/>
        <w:rPr>
          <w:rFonts w:ascii="Tw Cen MT" w:hAnsi="Tw Cen MT" w:cstheme="minorHAnsi"/>
          <w:b/>
        </w:rPr>
      </w:pPr>
    </w:p>
    <w:p w:rsidR="006F63FB" w:rsidRPr="008F53BB" w:rsidRDefault="006F63FB" w:rsidP="006F63FB">
      <w:pPr>
        <w:pStyle w:val="DefaultText"/>
        <w:jc w:val="center"/>
        <w:rPr>
          <w:rFonts w:ascii="Tw Cen MT" w:hAnsi="Tw Cen MT" w:cstheme="minorHAnsi"/>
          <w:b/>
        </w:rPr>
      </w:pPr>
    </w:p>
    <w:p w:rsidR="006F63FB" w:rsidRPr="008F53BB" w:rsidRDefault="006F63FB" w:rsidP="006F63FB">
      <w:pPr>
        <w:pStyle w:val="DefaultText"/>
        <w:jc w:val="center"/>
        <w:rPr>
          <w:rFonts w:ascii="Tw Cen MT" w:hAnsi="Tw Cen MT" w:cstheme="minorHAnsi"/>
          <w:b/>
        </w:rPr>
      </w:pPr>
    </w:p>
    <w:p w:rsidR="006F63FB" w:rsidRPr="008F53BB" w:rsidRDefault="006F63FB" w:rsidP="006F63FB">
      <w:pPr>
        <w:pStyle w:val="DefaultText"/>
        <w:jc w:val="center"/>
        <w:rPr>
          <w:rFonts w:ascii="Tw Cen MT" w:hAnsi="Tw Cen MT" w:cstheme="minorHAnsi"/>
          <w:b/>
        </w:rPr>
      </w:pPr>
    </w:p>
    <w:p w:rsidR="006F63FB" w:rsidRPr="008F53BB" w:rsidRDefault="006F63FB" w:rsidP="006F63FB">
      <w:pPr>
        <w:pStyle w:val="DefaultText"/>
        <w:rPr>
          <w:rFonts w:ascii="Tw Cen MT" w:hAnsi="Tw Cen MT" w:cstheme="minorHAnsi"/>
          <w:b/>
        </w:rPr>
      </w:pPr>
    </w:p>
    <w:p w:rsidR="00705095" w:rsidRDefault="00705095" w:rsidP="006F63FB">
      <w:pPr>
        <w:pStyle w:val="DefaultText"/>
        <w:jc w:val="center"/>
        <w:rPr>
          <w:rFonts w:ascii="Tw Cen MT" w:hAnsi="Tw Cen MT" w:cstheme="minorHAnsi"/>
          <w:sz w:val="32"/>
        </w:rPr>
      </w:pPr>
      <w:r>
        <w:rPr>
          <w:rFonts w:ascii="Tw Cen MT" w:hAnsi="Tw Cen MT" w:cstheme="minorHAnsi"/>
          <w:sz w:val="32"/>
        </w:rPr>
        <w:t>For more information contact:</w:t>
      </w:r>
    </w:p>
    <w:p w:rsidR="00705095" w:rsidRDefault="00705095" w:rsidP="006F63FB">
      <w:pPr>
        <w:pStyle w:val="DefaultText"/>
        <w:jc w:val="center"/>
        <w:rPr>
          <w:rFonts w:ascii="Tw Cen MT" w:hAnsi="Tw Cen MT" w:cstheme="minorHAnsi"/>
          <w:sz w:val="32"/>
        </w:rPr>
      </w:pPr>
    </w:p>
    <w:p w:rsidR="006F63FB" w:rsidRPr="008F53BB" w:rsidRDefault="006F63FB" w:rsidP="006F63FB">
      <w:pPr>
        <w:pStyle w:val="DefaultText"/>
        <w:jc w:val="center"/>
        <w:rPr>
          <w:rFonts w:ascii="Tw Cen MT" w:hAnsi="Tw Cen MT" w:cstheme="minorHAnsi"/>
          <w:sz w:val="32"/>
        </w:rPr>
      </w:pPr>
      <w:r w:rsidRPr="008F53BB">
        <w:rPr>
          <w:rFonts w:ascii="Tw Cen MT" w:hAnsi="Tw Cen MT" w:cstheme="minorHAnsi"/>
          <w:sz w:val="32"/>
        </w:rPr>
        <w:t>Mark B. Dawson</w:t>
      </w:r>
    </w:p>
    <w:p w:rsidR="006F63FB" w:rsidRPr="008F53BB" w:rsidRDefault="006F63FB" w:rsidP="006F63FB">
      <w:pPr>
        <w:pStyle w:val="DefaultText"/>
        <w:jc w:val="center"/>
        <w:rPr>
          <w:rFonts w:ascii="Tw Cen MT" w:hAnsi="Tw Cen MT" w:cstheme="minorHAnsi"/>
          <w:sz w:val="28"/>
          <w:szCs w:val="28"/>
        </w:rPr>
      </w:pPr>
      <w:r w:rsidRPr="008F53BB">
        <w:rPr>
          <w:rFonts w:ascii="Tw Cen MT" w:hAnsi="Tw Cen MT" w:cstheme="minorHAnsi"/>
          <w:sz w:val="28"/>
          <w:szCs w:val="28"/>
        </w:rPr>
        <w:t>Bureau of Labor Standards</w:t>
      </w:r>
    </w:p>
    <w:p w:rsidR="006F63FB" w:rsidRPr="008F53BB" w:rsidRDefault="006F63FB" w:rsidP="006F63FB">
      <w:pPr>
        <w:pStyle w:val="DefaultText"/>
        <w:jc w:val="center"/>
        <w:rPr>
          <w:rFonts w:ascii="Tw Cen MT" w:hAnsi="Tw Cen MT" w:cstheme="minorHAnsi"/>
          <w:sz w:val="28"/>
          <w:szCs w:val="28"/>
        </w:rPr>
      </w:pPr>
      <w:r w:rsidRPr="008F53BB">
        <w:rPr>
          <w:rFonts w:ascii="Tw Cen MT" w:hAnsi="Tw Cen MT" w:cstheme="minorHAnsi"/>
          <w:sz w:val="28"/>
          <w:szCs w:val="28"/>
        </w:rPr>
        <w:t xml:space="preserve">Maine Department of Labor </w:t>
      </w:r>
    </w:p>
    <w:p w:rsidR="006F63FB" w:rsidRPr="008F53BB" w:rsidRDefault="006F63FB" w:rsidP="006F63FB">
      <w:pPr>
        <w:pStyle w:val="DefaultText"/>
        <w:jc w:val="center"/>
        <w:rPr>
          <w:rFonts w:ascii="Tw Cen MT" w:hAnsi="Tw Cen MT" w:cstheme="minorHAnsi"/>
          <w:b/>
        </w:rPr>
      </w:pPr>
    </w:p>
    <w:p w:rsidR="006F63FB" w:rsidRDefault="006F63FB" w:rsidP="006F63FB">
      <w:pPr>
        <w:pStyle w:val="DefaultText"/>
        <w:jc w:val="center"/>
        <w:rPr>
          <w:rFonts w:ascii="Tw Cen MT" w:hAnsi="Tw Cen MT" w:cstheme="minorHAnsi"/>
        </w:rPr>
      </w:pPr>
    </w:p>
    <w:p w:rsidR="006F63FB" w:rsidRDefault="006F63FB" w:rsidP="006F63FB">
      <w:pPr>
        <w:pStyle w:val="DefaultText"/>
        <w:jc w:val="center"/>
        <w:rPr>
          <w:rFonts w:ascii="Tw Cen MT" w:hAnsi="Tw Cen MT" w:cstheme="minorHAnsi"/>
        </w:rPr>
      </w:pPr>
    </w:p>
    <w:p w:rsidR="006F63FB" w:rsidRDefault="006F63FB" w:rsidP="006F63FB">
      <w:pPr>
        <w:pStyle w:val="DefaultText"/>
        <w:jc w:val="center"/>
        <w:rPr>
          <w:rFonts w:ascii="Tw Cen MT" w:hAnsi="Tw Cen MT" w:cstheme="minorHAnsi"/>
        </w:rPr>
      </w:pPr>
    </w:p>
    <w:p w:rsidR="006F63FB" w:rsidRPr="008F53BB" w:rsidRDefault="006F63FB" w:rsidP="006F63FB">
      <w:pPr>
        <w:pStyle w:val="DefaultText"/>
        <w:jc w:val="center"/>
        <w:rPr>
          <w:rFonts w:ascii="Tw Cen MT" w:hAnsi="Tw Cen MT" w:cstheme="minorHAnsi"/>
        </w:rPr>
      </w:pPr>
    </w:p>
    <w:p w:rsidR="006F63FB" w:rsidRPr="008F53BB" w:rsidRDefault="006F63FB" w:rsidP="006F63FB">
      <w:pPr>
        <w:pStyle w:val="DefaultText"/>
        <w:jc w:val="center"/>
        <w:rPr>
          <w:rFonts w:ascii="Tw Cen MT" w:hAnsi="Tw Cen MT" w:cstheme="minorHAnsi"/>
          <w:sz w:val="20"/>
        </w:rPr>
      </w:pPr>
      <w:r w:rsidRPr="008F53BB">
        <w:rPr>
          <w:rFonts w:ascii="Tw Cen MT" w:hAnsi="Tw Cen MT" w:cstheme="minorHAnsi"/>
          <w:sz w:val="20"/>
        </w:rPr>
        <w:t>The Maine Department of Labor provides equal opportunity employment and programs.</w:t>
      </w:r>
    </w:p>
    <w:p w:rsidR="006F63FB" w:rsidRPr="008F53BB" w:rsidRDefault="006F63FB" w:rsidP="006F63FB">
      <w:pPr>
        <w:pStyle w:val="DefaultText"/>
        <w:jc w:val="center"/>
        <w:rPr>
          <w:rFonts w:ascii="Tw Cen MT" w:hAnsi="Tw Cen MT" w:cstheme="minorHAnsi"/>
          <w:sz w:val="20"/>
        </w:rPr>
      </w:pPr>
      <w:r w:rsidRPr="008F53BB">
        <w:rPr>
          <w:rFonts w:ascii="Tw Cen MT" w:hAnsi="Tw Cen MT" w:cstheme="minorHAnsi"/>
          <w:sz w:val="20"/>
        </w:rPr>
        <w:t>Auxiliary aids and services are available to individuals with disabilities upon request.</w:t>
      </w:r>
    </w:p>
    <w:p w:rsidR="006F63FB" w:rsidRPr="008F53BB" w:rsidRDefault="006F63FB" w:rsidP="006F63FB">
      <w:pPr>
        <w:pStyle w:val="DefaultText"/>
        <w:rPr>
          <w:rFonts w:ascii="Tw Cen MT" w:hAnsi="Tw Cen MT" w:cstheme="minorHAnsi"/>
          <w:sz w:val="20"/>
        </w:rPr>
      </w:pPr>
    </w:p>
    <w:p w:rsidR="006F63FB" w:rsidRPr="008F53BB" w:rsidRDefault="006F63FB" w:rsidP="006F63FB">
      <w:pPr>
        <w:pStyle w:val="DefaultText"/>
        <w:jc w:val="center"/>
        <w:rPr>
          <w:rFonts w:ascii="Tw Cen MT" w:hAnsi="Tw Cen MT" w:cstheme="minorHAnsi"/>
          <w:sz w:val="20"/>
        </w:rPr>
      </w:pPr>
      <w:r w:rsidRPr="008F53BB">
        <w:rPr>
          <w:rFonts w:ascii="Tw Cen MT" w:hAnsi="Tw Cen MT" w:cstheme="minorHAnsi"/>
          <w:sz w:val="20"/>
        </w:rPr>
        <w:t>Telephone (207) 623-7900     TTY Users Call Maine Relay 711     FAX (207) 623-7937</w:t>
      </w:r>
    </w:p>
    <w:p w:rsidR="006F63FB" w:rsidRPr="008F53BB" w:rsidRDefault="006F63FB" w:rsidP="006F63FB">
      <w:pPr>
        <w:pStyle w:val="DefaultText"/>
        <w:jc w:val="center"/>
        <w:rPr>
          <w:rFonts w:ascii="Tw Cen MT" w:hAnsi="Tw Cen MT" w:cstheme="minorHAnsi"/>
          <w:sz w:val="20"/>
        </w:rPr>
      </w:pPr>
    </w:p>
    <w:p w:rsidR="006F63FB" w:rsidRPr="008F53BB" w:rsidRDefault="006F63FB" w:rsidP="006F63FB">
      <w:pPr>
        <w:pStyle w:val="DefaultText"/>
        <w:jc w:val="center"/>
        <w:rPr>
          <w:rFonts w:ascii="Tw Cen MT" w:hAnsi="Tw Cen MT" w:cstheme="minorHAnsi"/>
          <w:szCs w:val="24"/>
        </w:rPr>
      </w:pPr>
      <w:r w:rsidRPr="008F53BB">
        <w:rPr>
          <w:rFonts w:ascii="Tw Cen MT" w:hAnsi="Tw Cen MT" w:cstheme="minorHAnsi"/>
          <w:sz w:val="20"/>
        </w:rPr>
        <w:t xml:space="preserve">This publication is available at: </w:t>
      </w:r>
      <w:r w:rsidRPr="008F53BB">
        <w:rPr>
          <w:rFonts w:ascii="Tw Cen MT" w:hAnsi="Tw Cen MT" w:cstheme="minorHAnsi"/>
          <w:szCs w:val="24"/>
        </w:rPr>
        <w:t>www.maine.gov/labor/labor_st</w:t>
      </w:r>
      <w:r w:rsidR="002C1B06">
        <w:rPr>
          <w:rFonts w:ascii="Tw Cen MT" w:hAnsi="Tw Cen MT" w:cstheme="minorHAnsi"/>
          <w:szCs w:val="24"/>
        </w:rPr>
        <w:t>ats/publications/substanceabuse</w:t>
      </w:r>
    </w:p>
    <w:p w:rsidR="00C42340" w:rsidRPr="006F63FB" w:rsidRDefault="008C7B5A" w:rsidP="00A136EA">
      <w:pPr>
        <w:rPr>
          <w:rFonts w:ascii="Tw Cen MT" w:hAnsi="Tw Cen MT" w:cstheme="minorHAnsi"/>
        </w:rPr>
      </w:pPr>
      <w:r w:rsidRPr="00FE3CFC">
        <w:br w:type="page"/>
      </w:r>
      <w:r w:rsidRPr="00CB2440">
        <w:lastRenderedPageBreak/>
        <w:t xml:space="preserve"> </w:t>
      </w:r>
    </w:p>
    <w:p w:rsidR="00CC0733" w:rsidRDefault="00E509C5" w:rsidP="00E509C5">
      <w:pPr>
        <w:pStyle w:val="Heading2"/>
      </w:pPr>
      <w:r>
        <w:t>CONTENTS</w:t>
      </w:r>
    </w:p>
    <w:p w:rsidR="00CC0733" w:rsidRDefault="00CC0733" w:rsidP="00CC0733">
      <w:pPr>
        <w:jc w:val="center"/>
        <w:rPr>
          <w:b/>
          <w:sz w:val="36"/>
          <w:szCs w:val="36"/>
        </w:rPr>
      </w:pPr>
    </w:p>
    <w:p w:rsidR="00CC0733" w:rsidRDefault="00CC0733" w:rsidP="00CC0733">
      <w:r>
        <w:t>Introduction</w:t>
      </w:r>
      <w:r w:rsidR="00A43F09">
        <w:tab/>
      </w:r>
      <w:r w:rsidR="00A43F09">
        <w:tab/>
      </w:r>
      <w:r w:rsidR="00A43F09">
        <w:tab/>
      </w:r>
      <w:r w:rsidR="00A43F09">
        <w:tab/>
      </w:r>
      <w:r w:rsidR="00A43F09">
        <w:tab/>
      </w:r>
      <w:r w:rsidR="00A43F09">
        <w:tab/>
      </w:r>
      <w:r w:rsidR="00A43F09">
        <w:tab/>
      </w:r>
      <w:r w:rsidR="00A43F09">
        <w:tab/>
      </w:r>
      <w:r w:rsidR="00A43F09">
        <w:tab/>
        <w:t>Page 4</w:t>
      </w:r>
    </w:p>
    <w:p w:rsidR="00A43F09" w:rsidRDefault="00A43F09" w:rsidP="00CC0733">
      <w:r>
        <w:t xml:space="preserve">Survey Structure and </w:t>
      </w:r>
      <w:r w:rsidR="00AD6822">
        <w:t>Objectives</w:t>
      </w:r>
      <w:r>
        <w:tab/>
      </w:r>
      <w:r>
        <w:tab/>
      </w:r>
      <w:r>
        <w:tab/>
      </w:r>
      <w:r>
        <w:tab/>
      </w:r>
      <w:r>
        <w:tab/>
      </w:r>
      <w:r>
        <w:tab/>
        <w:t>Page 5</w:t>
      </w:r>
    </w:p>
    <w:p w:rsidR="00A43F09" w:rsidRDefault="00A43F09" w:rsidP="00CC0733">
      <w:pPr>
        <w:rPr>
          <w:caps/>
        </w:rPr>
      </w:pPr>
    </w:p>
    <w:p w:rsidR="00A43F09" w:rsidRPr="00A43F09" w:rsidRDefault="00A43F09" w:rsidP="00CC0733">
      <w:pPr>
        <w:rPr>
          <w:caps/>
        </w:rPr>
      </w:pPr>
      <w:r w:rsidRPr="00A43F09">
        <w:rPr>
          <w:caps/>
        </w:rPr>
        <w:t>Characteristics of participants</w:t>
      </w:r>
    </w:p>
    <w:p w:rsidR="00A43F09" w:rsidRDefault="00A43F09" w:rsidP="00CC0733">
      <w:r>
        <w:tab/>
        <w:t>Organization</w:t>
      </w:r>
      <w:r w:rsidR="002C1B06">
        <w:t>s and Representation</w:t>
      </w:r>
      <w:r w:rsidR="002C1B06">
        <w:tab/>
      </w:r>
      <w:r w:rsidR="002C1B06">
        <w:tab/>
      </w:r>
      <w:r w:rsidR="002C1B06">
        <w:tab/>
      </w:r>
      <w:r w:rsidR="002C1B06">
        <w:tab/>
      </w:r>
      <w:r w:rsidR="002C1B06">
        <w:tab/>
        <w:t>Page 7</w:t>
      </w:r>
    </w:p>
    <w:p w:rsidR="00A43F09" w:rsidRDefault="00A43F09" w:rsidP="00CC0733">
      <w:r>
        <w:tab/>
        <w:t>Substance Abuse Ex</w:t>
      </w:r>
      <w:r w:rsidR="002C1B06">
        <w:t>periences and Response</w:t>
      </w:r>
      <w:r w:rsidR="002C1B06">
        <w:tab/>
      </w:r>
      <w:r w:rsidR="002C1B06">
        <w:tab/>
      </w:r>
      <w:r w:rsidR="002C1B06">
        <w:tab/>
      </w:r>
      <w:r w:rsidR="002C1B06">
        <w:tab/>
        <w:t>Page 10</w:t>
      </w:r>
    </w:p>
    <w:p w:rsidR="00A43F09" w:rsidRDefault="00A43F09" w:rsidP="00CC0733"/>
    <w:p w:rsidR="00A43F09" w:rsidRDefault="00A43F09" w:rsidP="00CC0733">
      <w:r>
        <w:t>RESPONSES TO SPECIFIC POLICY ISSUES</w:t>
      </w:r>
    </w:p>
    <w:p w:rsidR="00CC0733" w:rsidRPr="004243B0" w:rsidRDefault="00CC0733" w:rsidP="00A43F09">
      <w:pPr>
        <w:ind w:firstLine="720"/>
      </w:pPr>
      <w:r w:rsidRPr="004243B0">
        <w:t>Uniform Model Policy</w:t>
      </w:r>
      <w:r w:rsidRPr="004243B0">
        <w:tab/>
      </w:r>
      <w:r w:rsidRPr="004243B0">
        <w:tab/>
      </w:r>
      <w:r w:rsidRPr="004243B0">
        <w:tab/>
      </w:r>
      <w:r w:rsidRPr="004243B0">
        <w:tab/>
      </w:r>
      <w:r w:rsidRPr="004243B0">
        <w:tab/>
      </w:r>
      <w:r w:rsidRPr="004243B0">
        <w:tab/>
        <w:t xml:space="preserve">Page </w:t>
      </w:r>
      <w:r w:rsidR="00A43F09">
        <w:t>1</w:t>
      </w:r>
      <w:r w:rsidR="000B3A97">
        <w:t>5</w:t>
      </w:r>
    </w:p>
    <w:p w:rsidR="00CC0733" w:rsidRPr="004243B0" w:rsidRDefault="00CC0733" w:rsidP="00A43F09">
      <w:pPr>
        <w:ind w:firstLine="720"/>
      </w:pPr>
      <w:r w:rsidRPr="004243B0">
        <w:t>Employee Assistance Programs</w:t>
      </w:r>
      <w:r w:rsidRPr="004243B0">
        <w:tab/>
      </w:r>
      <w:r w:rsidRPr="004243B0">
        <w:tab/>
      </w:r>
      <w:r w:rsidRPr="004243B0">
        <w:tab/>
      </w:r>
      <w:r w:rsidRPr="004243B0">
        <w:tab/>
      </w:r>
      <w:r w:rsidR="00A43F09">
        <w:tab/>
      </w:r>
      <w:r w:rsidRPr="004243B0">
        <w:t xml:space="preserve">Page </w:t>
      </w:r>
      <w:r w:rsidR="00A43F09">
        <w:t>1</w:t>
      </w:r>
      <w:r w:rsidR="000B3A97">
        <w:t>7</w:t>
      </w:r>
    </w:p>
    <w:p w:rsidR="00CC0733" w:rsidRPr="004243B0" w:rsidRDefault="00CC0733" w:rsidP="00A43F09">
      <w:pPr>
        <w:ind w:firstLine="720"/>
      </w:pPr>
      <w:r w:rsidRPr="004243B0">
        <w:t>Rehab Expenses</w:t>
      </w:r>
      <w:r w:rsidRPr="004243B0">
        <w:tab/>
      </w:r>
      <w:r w:rsidRPr="004243B0">
        <w:tab/>
      </w:r>
      <w:r w:rsidRPr="004243B0">
        <w:tab/>
      </w:r>
      <w:r w:rsidRPr="004243B0">
        <w:tab/>
      </w:r>
      <w:r w:rsidRPr="004243B0">
        <w:tab/>
      </w:r>
      <w:r w:rsidRPr="004243B0">
        <w:tab/>
      </w:r>
      <w:r w:rsidRPr="004243B0">
        <w:tab/>
      </w:r>
      <w:r w:rsidR="00A43F09">
        <w:t>Page 2</w:t>
      </w:r>
      <w:r w:rsidR="000B3A97">
        <w:t>1</w:t>
      </w:r>
    </w:p>
    <w:p w:rsidR="00CC0733" w:rsidRPr="004243B0" w:rsidRDefault="00CC0733" w:rsidP="00A43F09">
      <w:pPr>
        <w:ind w:firstLine="720"/>
      </w:pPr>
      <w:r w:rsidRPr="004243B0">
        <w:t>Federal/Non-Federal Employee Testing</w:t>
      </w:r>
      <w:r w:rsidRPr="004243B0">
        <w:tab/>
      </w:r>
      <w:r w:rsidRPr="004243B0">
        <w:tab/>
        <w:t xml:space="preserve"> </w:t>
      </w:r>
      <w:r w:rsidRPr="004243B0">
        <w:tab/>
      </w:r>
      <w:r w:rsidR="00A43F09">
        <w:tab/>
      </w:r>
      <w:r w:rsidRPr="004243B0">
        <w:t xml:space="preserve">Page </w:t>
      </w:r>
      <w:r w:rsidR="00A43F09">
        <w:t>2</w:t>
      </w:r>
      <w:r w:rsidR="000B3A97">
        <w:t>4</w:t>
      </w:r>
    </w:p>
    <w:p w:rsidR="00CC0733" w:rsidRPr="004243B0" w:rsidRDefault="00CC0733" w:rsidP="00A43F09">
      <w:pPr>
        <w:ind w:firstLine="720"/>
      </w:pPr>
      <w:r w:rsidRPr="004243B0">
        <w:t>Size of Random Testing Populations</w:t>
      </w:r>
      <w:r w:rsidRPr="004243B0">
        <w:tab/>
      </w:r>
      <w:r w:rsidRPr="004243B0">
        <w:tab/>
      </w:r>
      <w:r w:rsidRPr="004243B0">
        <w:tab/>
      </w:r>
      <w:r w:rsidR="00A43F09">
        <w:tab/>
      </w:r>
      <w:r w:rsidR="00A43F09">
        <w:tab/>
      </w:r>
      <w:r w:rsidRPr="004243B0">
        <w:t xml:space="preserve">Page </w:t>
      </w:r>
      <w:r w:rsidR="00A43F09">
        <w:t>2</w:t>
      </w:r>
      <w:r w:rsidR="000B3A97">
        <w:t>7</w:t>
      </w:r>
    </w:p>
    <w:p w:rsidR="00CC0733" w:rsidRPr="004243B0" w:rsidRDefault="00CC0733" w:rsidP="00A43F09">
      <w:pPr>
        <w:ind w:firstLine="720"/>
      </w:pPr>
      <w:r w:rsidRPr="004243B0">
        <w:t>First Accident Testing</w:t>
      </w:r>
      <w:r w:rsidRPr="004243B0">
        <w:tab/>
      </w:r>
      <w:r w:rsidRPr="004243B0">
        <w:tab/>
      </w:r>
      <w:r w:rsidRPr="004243B0">
        <w:tab/>
      </w:r>
      <w:r w:rsidRPr="004243B0">
        <w:tab/>
      </w:r>
      <w:r w:rsidRPr="004243B0">
        <w:tab/>
      </w:r>
      <w:r w:rsidRPr="004243B0">
        <w:tab/>
      </w:r>
      <w:r w:rsidR="00A43F09">
        <w:tab/>
      </w:r>
      <w:r w:rsidRPr="004243B0">
        <w:t xml:space="preserve">Page </w:t>
      </w:r>
      <w:r w:rsidR="00A43F09">
        <w:t>2</w:t>
      </w:r>
      <w:r w:rsidR="000B3A97">
        <w:t>9</w:t>
      </w:r>
    </w:p>
    <w:p w:rsidR="00CC0733" w:rsidRPr="004243B0" w:rsidRDefault="00CC0733" w:rsidP="00A43F09">
      <w:pPr>
        <w:ind w:firstLine="720"/>
      </w:pPr>
      <w:r w:rsidRPr="004243B0">
        <w:t>Temporary Project Testing</w:t>
      </w:r>
      <w:r w:rsidRPr="004243B0">
        <w:tab/>
      </w:r>
      <w:r w:rsidRPr="004243B0">
        <w:tab/>
      </w:r>
      <w:r w:rsidRPr="004243B0">
        <w:tab/>
      </w:r>
      <w:r w:rsidRPr="004243B0">
        <w:tab/>
      </w:r>
      <w:r w:rsidRPr="004243B0">
        <w:tab/>
      </w:r>
      <w:r w:rsidR="00A43F09">
        <w:tab/>
      </w:r>
      <w:r w:rsidRPr="004243B0">
        <w:t xml:space="preserve">Page </w:t>
      </w:r>
      <w:r w:rsidR="00A43F09">
        <w:t>3</w:t>
      </w:r>
      <w:r w:rsidR="000B3A97">
        <w:t>1</w:t>
      </w:r>
    </w:p>
    <w:p w:rsidR="00CC0733" w:rsidRDefault="00CC0733" w:rsidP="00A43F09">
      <w:pPr>
        <w:ind w:firstLine="720"/>
      </w:pPr>
      <w:r w:rsidRPr="004243B0">
        <w:t>Medical Marijuana</w:t>
      </w:r>
      <w:r w:rsidRPr="004243B0">
        <w:tab/>
      </w:r>
      <w:r w:rsidRPr="004243B0">
        <w:tab/>
      </w:r>
      <w:r w:rsidRPr="004243B0">
        <w:tab/>
      </w:r>
      <w:r w:rsidRPr="004243B0">
        <w:tab/>
      </w:r>
      <w:r w:rsidRPr="004243B0">
        <w:tab/>
      </w:r>
      <w:r w:rsidRPr="004243B0">
        <w:tab/>
      </w:r>
      <w:r w:rsidR="00A43F09">
        <w:tab/>
      </w:r>
      <w:r w:rsidRPr="004243B0">
        <w:t xml:space="preserve">Page </w:t>
      </w:r>
      <w:r w:rsidR="00A43F09">
        <w:t>3</w:t>
      </w:r>
      <w:r w:rsidR="000B3A97">
        <w:t>3</w:t>
      </w:r>
    </w:p>
    <w:p w:rsidR="00A43F09" w:rsidRDefault="00A43F09" w:rsidP="00A43F09"/>
    <w:p w:rsidR="00A43F09" w:rsidRDefault="00A43F09" w:rsidP="00A43F09">
      <w:r>
        <w:t>COVERAGE OF TOPICS AND RANKING</w:t>
      </w:r>
      <w:r>
        <w:tab/>
      </w:r>
    </w:p>
    <w:p w:rsidR="00A43F09" w:rsidRDefault="00A43F09" w:rsidP="00A43F09">
      <w:r>
        <w:tab/>
        <w:t>Coverage</w:t>
      </w:r>
      <w:r>
        <w:tab/>
      </w:r>
      <w:r>
        <w:tab/>
      </w:r>
      <w:r>
        <w:tab/>
      </w:r>
      <w:r>
        <w:tab/>
      </w:r>
      <w:r>
        <w:tab/>
      </w:r>
      <w:r>
        <w:tab/>
      </w:r>
      <w:r>
        <w:tab/>
      </w:r>
      <w:r>
        <w:tab/>
        <w:t>Page 3</w:t>
      </w:r>
      <w:r w:rsidR="000B3A97">
        <w:t>7</w:t>
      </w:r>
    </w:p>
    <w:p w:rsidR="00A43F09" w:rsidRPr="004243B0" w:rsidRDefault="00A43F09" w:rsidP="00A43F09">
      <w:pPr>
        <w:ind w:firstLine="720"/>
      </w:pPr>
      <w:r>
        <w:t>Ranking</w:t>
      </w:r>
      <w:r>
        <w:tab/>
      </w:r>
      <w:r>
        <w:tab/>
        <w:t xml:space="preserve">   </w:t>
      </w:r>
      <w:r>
        <w:tab/>
      </w:r>
      <w:r>
        <w:tab/>
      </w:r>
      <w:r>
        <w:tab/>
      </w:r>
      <w:r>
        <w:tab/>
      </w:r>
      <w:r>
        <w:tab/>
      </w:r>
      <w:r>
        <w:tab/>
        <w:t>Page 3</w:t>
      </w:r>
      <w:r w:rsidR="000B3A97">
        <w:t>8</w:t>
      </w:r>
    </w:p>
    <w:p w:rsidR="00CC0733" w:rsidRPr="004243B0" w:rsidRDefault="00CC0733" w:rsidP="00CC0733"/>
    <w:p w:rsidR="00CC0733" w:rsidRDefault="00CC0733" w:rsidP="00E509C5">
      <w:pPr>
        <w:pStyle w:val="Heading2"/>
      </w:pPr>
      <w:r>
        <w:t>INTRODUCTION</w:t>
      </w:r>
    </w:p>
    <w:p w:rsidR="0080240A" w:rsidRDefault="0080240A" w:rsidP="00CC0733">
      <w:pPr>
        <w:widowControl w:val="0"/>
        <w:autoSpaceDE w:val="0"/>
        <w:autoSpaceDN w:val="0"/>
        <w:adjustRightInd w:val="0"/>
        <w:spacing w:before="200" w:after="0"/>
      </w:pPr>
    </w:p>
    <w:p w:rsidR="00CC0733" w:rsidRPr="004A635A" w:rsidRDefault="00CC0733" w:rsidP="00CC0733">
      <w:pPr>
        <w:widowControl w:val="0"/>
        <w:autoSpaceDE w:val="0"/>
        <w:autoSpaceDN w:val="0"/>
        <w:adjustRightInd w:val="0"/>
        <w:spacing w:before="200" w:after="0"/>
        <w:rPr>
          <w:bCs/>
          <w:color w:val="000000"/>
        </w:rPr>
      </w:pPr>
      <w:r w:rsidRPr="004A635A">
        <w:t>During the second session of the 126</w:t>
      </w:r>
      <w:r w:rsidRPr="004A635A">
        <w:rPr>
          <w:vertAlign w:val="superscript"/>
        </w:rPr>
        <w:t>th</w:t>
      </w:r>
      <w:r w:rsidRPr="004A635A">
        <w:t xml:space="preserve"> Maine Legislature, the Committee on Labor, Commerce, Research and Economic Development (LCRED) considered LD1669, “</w:t>
      </w:r>
      <w:r w:rsidRPr="004A635A">
        <w:rPr>
          <w:bCs/>
          <w:color w:val="000000"/>
        </w:rPr>
        <w:t>An Act to Standardize and Simplify the Pr</w:t>
      </w:r>
      <w:r w:rsidRPr="004A635A">
        <w:rPr>
          <w:bCs/>
          <w:color w:val="000000"/>
        </w:rPr>
        <w:t>o</w:t>
      </w:r>
      <w:r w:rsidRPr="004A635A">
        <w:rPr>
          <w:bCs/>
          <w:color w:val="000000"/>
        </w:rPr>
        <w:t xml:space="preserve">cess for Employers to Provide a Drug-free Workplace”.  The bill </w:t>
      </w:r>
      <w:r w:rsidR="0080240A" w:rsidRPr="004A635A">
        <w:rPr>
          <w:bCs/>
          <w:color w:val="000000"/>
        </w:rPr>
        <w:t>called for</w:t>
      </w:r>
      <w:r w:rsidRPr="004A635A">
        <w:rPr>
          <w:bCs/>
          <w:color w:val="000000"/>
        </w:rPr>
        <w:t xml:space="preserve"> a number of changes in the Maine Drug Testing Law that would have streamlined the employers’ requirements for approval of drug testing programs.  </w:t>
      </w:r>
      <w:r w:rsidR="0080240A" w:rsidRPr="004A635A">
        <w:rPr>
          <w:bCs/>
          <w:color w:val="000000"/>
        </w:rPr>
        <w:t>Based on questions</w:t>
      </w:r>
      <w:r w:rsidRPr="004A635A">
        <w:rPr>
          <w:bCs/>
          <w:color w:val="000000"/>
        </w:rPr>
        <w:t xml:space="preserve"> and discussions </w:t>
      </w:r>
      <w:r w:rsidR="0080240A" w:rsidRPr="004A635A">
        <w:rPr>
          <w:bCs/>
          <w:color w:val="000000"/>
        </w:rPr>
        <w:t xml:space="preserve">in the hearing and work session the </w:t>
      </w:r>
      <w:r w:rsidR="002C1B06">
        <w:rPr>
          <w:bCs/>
          <w:color w:val="000000"/>
        </w:rPr>
        <w:t>Department determined that the C</w:t>
      </w:r>
      <w:r w:rsidR="0080240A" w:rsidRPr="004A635A">
        <w:rPr>
          <w:bCs/>
          <w:color w:val="000000"/>
        </w:rPr>
        <w:t>ommittee and participants could benefit by having more concrete and complete i</w:t>
      </w:r>
      <w:r w:rsidR="0080240A" w:rsidRPr="004A635A">
        <w:rPr>
          <w:bCs/>
          <w:color w:val="000000"/>
        </w:rPr>
        <w:t>n</w:t>
      </w:r>
      <w:r w:rsidR="0080240A" w:rsidRPr="004A635A">
        <w:rPr>
          <w:bCs/>
          <w:color w:val="000000"/>
        </w:rPr>
        <w:t xml:space="preserve">formation about the facts, practices, ramifications and perceptions surrounding the policy issues. </w:t>
      </w:r>
    </w:p>
    <w:p w:rsidR="00CC0733" w:rsidRPr="004A635A" w:rsidRDefault="0080240A" w:rsidP="00CC0733">
      <w:pPr>
        <w:widowControl w:val="0"/>
        <w:autoSpaceDE w:val="0"/>
        <w:autoSpaceDN w:val="0"/>
        <w:adjustRightInd w:val="0"/>
        <w:spacing w:before="200" w:after="0"/>
        <w:rPr>
          <w:bCs/>
          <w:color w:val="000000"/>
        </w:rPr>
      </w:pPr>
      <w:r w:rsidRPr="004A635A">
        <w:rPr>
          <w:bCs/>
          <w:color w:val="000000"/>
        </w:rPr>
        <w:t xml:space="preserve">During the following spring and summer, </w:t>
      </w:r>
      <w:r w:rsidR="00CC0733" w:rsidRPr="004A635A">
        <w:rPr>
          <w:bCs/>
          <w:color w:val="000000"/>
        </w:rPr>
        <w:t xml:space="preserve">the Department of Labor, Bureau of Labor Standards </w:t>
      </w:r>
      <w:r w:rsidR="002C1B06">
        <w:rPr>
          <w:bCs/>
          <w:color w:val="000000"/>
        </w:rPr>
        <w:t>(</w:t>
      </w:r>
      <w:proofErr w:type="gramStart"/>
      <w:r w:rsidR="002C1B06">
        <w:rPr>
          <w:bCs/>
          <w:color w:val="000000"/>
        </w:rPr>
        <w:t xml:space="preserve">BLS </w:t>
      </w:r>
      <w:r w:rsidR="004A635A">
        <w:rPr>
          <w:bCs/>
          <w:color w:val="000000"/>
        </w:rPr>
        <w:t>)</w:t>
      </w:r>
      <w:proofErr w:type="gramEnd"/>
      <w:r w:rsidR="004A635A">
        <w:rPr>
          <w:bCs/>
          <w:color w:val="000000"/>
        </w:rPr>
        <w:t xml:space="preserve"> </w:t>
      </w:r>
      <w:r w:rsidRPr="004A635A">
        <w:rPr>
          <w:bCs/>
          <w:color w:val="000000"/>
        </w:rPr>
        <w:t>carried out a three-pronged effort to</w:t>
      </w:r>
      <w:r w:rsidR="00CC0733" w:rsidRPr="004A635A">
        <w:rPr>
          <w:bCs/>
          <w:color w:val="000000"/>
        </w:rPr>
        <w:t xml:space="preserve"> gather the informat</w:t>
      </w:r>
      <w:r w:rsidRPr="004A635A">
        <w:rPr>
          <w:bCs/>
          <w:color w:val="000000"/>
        </w:rPr>
        <w:t xml:space="preserve">ion and address the issues.   </w:t>
      </w:r>
      <w:r w:rsidR="004A635A">
        <w:rPr>
          <w:bCs/>
          <w:color w:val="000000"/>
        </w:rPr>
        <w:t>BLS</w:t>
      </w:r>
      <w:r w:rsidR="00AD6822" w:rsidRPr="004A635A">
        <w:rPr>
          <w:bCs/>
          <w:color w:val="000000"/>
        </w:rPr>
        <w:t xml:space="preserve"> </w:t>
      </w:r>
      <w:r w:rsidR="00CC0733" w:rsidRPr="004A635A">
        <w:rPr>
          <w:bCs/>
          <w:color w:val="000000"/>
        </w:rPr>
        <w:t>gathered info</w:t>
      </w:r>
      <w:r w:rsidR="00CC0733" w:rsidRPr="004A635A">
        <w:rPr>
          <w:bCs/>
          <w:color w:val="000000"/>
        </w:rPr>
        <w:t>r</w:t>
      </w:r>
      <w:r w:rsidR="00CC0733" w:rsidRPr="004A635A">
        <w:rPr>
          <w:bCs/>
          <w:color w:val="000000"/>
        </w:rPr>
        <w:t xml:space="preserve">mation about drug testing programs and approaches in </w:t>
      </w:r>
      <w:r w:rsidRPr="004A635A">
        <w:rPr>
          <w:bCs/>
          <w:color w:val="000000"/>
        </w:rPr>
        <w:t xml:space="preserve">all </w:t>
      </w:r>
      <w:r w:rsidR="00CC0733" w:rsidRPr="004A635A">
        <w:rPr>
          <w:bCs/>
          <w:color w:val="000000"/>
        </w:rPr>
        <w:t>other states throughout the country;</w:t>
      </w:r>
      <w:r w:rsidR="00AD6822" w:rsidRPr="004A635A">
        <w:rPr>
          <w:bCs/>
          <w:color w:val="000000"/>
        </w:rPr>
        <w:t xml:space="preserve"> it </w:t>
      </w:r>
      <w:r w:rsidR="00CC0733" w:rsidRPr="004A635A">
        <w:rPr>
          <w:bCs/>
          <w:color w:val="000000"/>
        </w:rPr>
        <w:t>r</w:t>
      </w:r>
      <w:r w:rsidR="00CC0733" w:rsidRPr="004A635A">
        <w:rPr>
          <w:bCs/>
          <w:color w:val="000000"/>
        </w:rPr>
        <w:t>e</w:t>
      </w:r>
      <w:r w:rsidR="00CC0733" w:rsidRPr="004A635A">
        <w:rPr>
          <w:bCs/>
          <w:color w:val="000000"/>
        </w:rPr>
        <w:t xml:space="preserve">viewed the federal drug testing </w:t>
      </w:r>
      <w:r w:rsidR="000B71CA" w:rsidRPr="004A635A">
        <w:rPr>
          <w:bCs/>
          <w:color w:val="000000"/>
        </w:rPr>
        <w:t>programs (</w:t>
      </w:r>
      <w:r w:rsidRPr="004A635A">
        <w:rPr>
          <w:bCs/>
          <w:color w:val="000000"/>
        </w:rPr>
        <w:t>US D</w:t>
      </w:r>
      <w:r w:rsidR="002C1B06">
        <w:rPr>
          <w:bCs/>
          <w:color w:val="000000"/>
        </w:rPr>
        <w:t>epartment of Transportation</w:t>
      </w:r>
      <w:r w:rsidRPr="004A635A">
        <w:rPr>
          <w:bCs/>
          <w:color w:val="000000"/>
        </w:rPr>
        <w:t xml:space="preserve">, </w:t>
      </w:r>
      <w:r w:rsidR="000B71CA" w:rsidRPr="004A635A">
        <w:rPr>
          <w:bCs/>
          <w:color w:val="000000"/>
        </w:rPr>
        <w:t>Department of Defense</w:t>
      </w:r>
      <w:r w:rsidRPr="004A635A">
        <w:rPr>
          <w:bCs/>
          <w:color w:val="000000"/>
        </w:rPr>
        <w:t xml:space="preserve"> and </w:t>
      </w:r>
      <w:r w:rsidR="000B71CA" w:rsidRPr="004A635A">
        <w:rPr>
          <w:bCs/>
          <w:color w:val="000000"/>
        </w:rPr>
        <w:t>US Department of Labor)</w:t>
      </w:r>
      <w:r w:rsidR="00CC0733" w:rsidRPr="004A635A">
        <w:rPr>
          <w:bCs/>
          <w:color w:val="000000"/>
        </w:rPr>
        <w:t xml:space="preserve">; and </w:t>
      </w:r>
      <w:r w:rsidR="00AD6822" w:rsidRPr="004A635A">
        <w:rPr>
          <w:bCs/>
          <w:color w:val="000000"/>
        </w:rPr>
        <w:t xml:space="preserve">it </w:t>
      </w:r>
      <w:r w:rsidR="00CC0733" w:rsidRPr="004A635A">
        <w:rPr>
          <w:bCs/>
          <w:color w:val="000000"/>
        </w:rPr>
        <w:t>conducted an employer drug testing survey to better understand the e</w:t>
      </w:r>
      <w:r w:rsidR="00CC0733" w:rsidRPr="004A635A">
        <w:rPr>
          <w:bCs/>
          <w:color w:val="000000"/>
        </w:rPr>
        <w:t>x</w:t>
      </w:r>
      <w:r w:rsidR="00CC0733" w:rsidRPr="004A635A">
        <w:rPr>
          <w:bCs/>
          <w:color w:val="000000"/>
        </w:rPr>
        <w:t xml:space="preserve">periences, attitudes, constraints and priorities of the stakeholders involved </w:t>
      </w:r>
      <w:r w:rsidR="00974B1B">
        <w:rPr>
          <w:bCs/>
          <w:color w:val="000000"/>
        </w:rPr>
        <w:t>with</w:t>
      </w:r>
      <w:r w:rsidR="00CC0733" w:rsidRPr="004A635A">
        <w:rPr>
          <w:bCs/>
          <w:color w:val="000000"/>
        </w:rPr>
        <w:t xml:space="preserve"> the Maine drug testing law.</w:t>
      </w:r>
    </w:p>
    <w:p w:rsidR="004A635A" w:rsidRDefault="004A635A" w:rsidP="00A93A6E">
      <w:pPr>
        <w:pStyle w:val="Normal3Paragraph"/>
        <w:spacing w:before="0" w:after="0"/>
        <w:ind w:left="0"/>
        <w:rPr>
          <w:rFonts w:ascii="Minion Pro" w:hAnsi="Minion Pro" w:cs="Times New Roman"/>
          <w:bCs/>
          <w:color w:val="000000"/>
        </w:rPr>
      </w:pPr>
    </w:p>
    <w:p w:rsidR="00A93A6E" w:rsidRPr="004A635A" w:rsidRDefault="00CC0733" w:rsidP="00A93A6E">
      <w:pPr>
        <w:pStyle w:val="Normal3Paragraph"/>
        <w:spacing w:before="0" w:after="0"/>
        <w:ind w:left="0"/>
        <w:rPr>
          <w:rFonts w:ascii="Minion Pro" w:hAnsi="Minion Pro" w:cs="Times New Roman"/>
          <w:bCs/>
          <w:color w:val="000000"/>
        </w:rPr>
      </w:pPr>
      <w:r w:rsidRPr="004A635A">
        <w:rPr>
          <w:rFonts w:ascii="Minion Pro" w:hAnsi="Minion Pro" w:cs="Times New Roman"/>
          <w:bCs/>
          <w:color w:val="000000"/>
        </w:rPr>
        <w:t>This report focuses on the results of t</w:t>
      </w:r>
      <w:r w:rsidR="00A93A6E" w:rsidRPr="004A635A">
        <w:rPr>
          <w:rFonts w:ascii="Minion Pro" w:hAnsi="Minion Pro" w:cs="Times New Roman"/>
          <w:bCs/>
          <w:color w:val="000000"/>
        </w:rPr>
        <w:t>he employer drug testing survey</w:t>
      </w:r>
      <w:r w:rsidR="004A635A">
        <w:rPr>
          <w:rFonts w:ascii="Minion Pro" w:hAnsi="Minion Pro" w:cs="Times New Roman"/>
          <w:bCs/>
          <w:color w:val="000000"/>
        </w:rPr>
        <w:t>.  It</w:t>
      </w:r>
      <w:r w:rsidR="00A93A6E" w:rsidRPr="004A635A">
        <w:rPr>
          <w:rFonts w:ascii="Minion Pro" w:hAnsi="Minion Pro" w:cs="Times New Roman"/>
          <w:bCs/>
          <w:color w:val="000000"/>
        </w:rPr>
        <w:t xml:space="preserve"> was launched July 22, 2014 and remained open until August 22, 2014.  </w:t>
      </w:r>
    </w:p>
    <w:p w:rsidR="00705095" w:rsidRPr="004A635A" w:rsidRDefault="00705095" w:rsidP="00CC0733">
      <w:pPr>
        <w:widowControl w:val="0"/>
        <w:autoSpaceDE w:val="0"/>
        <w:autoSpaceDN w:val="0"/>
        <w:adjustRightInd w:val="0"/>
        <w:spacing w:before="200" w:after="0"/>
        <w:rPr>
          <w:rFonts w:cs="Arial"/>
          <w:bCs/>
          <w:color w:val="000000"/>
        </w:rPr>
      </w:pPr>
      <w:r>
        <w:rPr>
          <w:rFonts w:cs="Arial"/>
          <w:bCs/>
          <w:color w:val="000000"/>
        </w:rPr>
        <w:t xml:space="preserve">BLS especially </w:t>
      </w:r>
      <w:r w:rsidR="00F15FCC">
        <w:rPr>
          <w:rFonts w:cs="Arial"/>
          <w:bCs/>
          <w:color w:val="000000"/>
        </w:rPr>
        <w:t xml:space="preserve">thanks </w:t>
      </w:r>
      <w:r>
        <w:rPr>
          <w:rFonts w:cs="Arial"/>
          <w:bCs/>
          <w:color w:val="000000"/>
        </w:rPr>
        <w:t>the</w:t>
      </w:r>
      <w:r w:rsidR="00F15FCC">
        <w:rPr>
          <w:rFonts w:cs="Arial"/>
          <w:bCs/>
          <w:color w:val="000000"/>
        </w:rPr>
        <w:t xml:space="preserve"> many</w:t>
      </w:r>
      <w:r>
        <w:rPr>
          <w:rFonts w:cs="Arial"/>
          <w:bCs/>
          <w:color w:val="000000"/>
        </w:rPr>
        <w:t xml:space="preserve"> respondents who took the time to participate in this survey.  The level of response</w:t>
      </w:r>
      <w:r w:rsidR="00F15FCC">
        <w:rPr>
          <w:rFonts w:cs="Arial"/>
          <w:bCs/>
          <w:color w:val="000000"/>
        </w:rPr>
        <w:t xml:space="preserve"> to this survey</w:t>
      </w:r>
      <w:r>
        <w:rPr>
          <w:rFonts w:cs="Arial"/>
          <w:bCs/>
          <w:color w:val="000000"/>
        </w:rPr>
        <w:t xml:space="preserve"> was higher than for surveys generally</w:t>
      </w:r>
      <w:r w:rsidR="00F15FCC">
        <w:rPr>
          <w:rFonts w:cs="Arial"/>
          <w:bCs/>
          <w:color w:val="000000"/>
        </w:rPr>
        <w:t>.  Also</w:t>
      </w:r>
      <w:r>
        <w:rPr>
          <w:rFonts w:cs="Arial"/>
          <w:bCs/>
          <w:color w:val="000000"/>
        </w:rPr>
        <w:t xml:space="preserve"> many</w:t>
      </w:r>
      <w:r w:rsidR="00F15FCC">
        <w:rPr>
          <w:rFonts w:cs="Arial"/>
          <w:bCs/>
          <w:color w:val="000000"/>
        </w:rPr>
        <w:t xml:space="preserve"> participants took the time to</w:t>
      </w:r>
      <w:r w:rsidR="00183F6A">
        <w:rPr>
          <w:rFonts w:cs="Arial"/>
          <w:bCs/>
          <w:color w:val="000000"/>
        </w:rPr>
        <w:t xml:space="preserve"> </w:t>
      </w:r>
      <w:r w:rsidR="00F15FCC">
        <w:rPr>
          <w:rFonts w:cs="Arial"/>
          <w:bCs/>
          <w:color w:val="000000"/>
        </w:rPr>
        <w:t>pass</w:t>
      </w:r>
      <w:r>
        <w:rPr>
          <w:rFonts w:cs="Arial"/>
          <w:bCs/>
          <w:color w:val="000000"/>
        </w:rPr>
        <w:t xml:space="preserve"> the word on to others who</w:t>
      </w:r>
      <w:r w:rsidR="00183F6A">
        <w:rPr>
          <w:rFonts w:cs="Arial"/>
          <w:bCs/>
          <w:color w:val="000000"/>
        </w:rPr>
        <w:t xml:space="preserve"> then</w:t>
      </w:r>
      <w:r>
        <w:rPr>
          <w:rFonts w:cs="Arial"/>
          <w:bCs/>
          <w:color w:val="000000"/>
        </w:rPr>
        <w:t xml:space="preserve"> called</w:t>
      </w:r>
      <w:r w:rsidR="00F15FCC">
        <w:rPr>
          <w:rFonts w:cs="Arial"/>
          <w:bCs/>
          <w:color w:val="000000"/>
        </w:rPr>
        <w:t xml:space="preserve"> or emailed</w:t>
      </w:r>
      <w:r>
        <w:rPr>
          <w:rFonts w:cs="Arial"/>
          <w:bCs/>
          <w:color w:val="000000"/>
        </w:rPr>
        <w:t xml:space="preserve"> BLS </w:t>
      </w:r>
      <w:r w:rsidR="00F15FCC">
        <w:rPr>
          <w:rFonts w:cs="Arial"/>
          <w:bCs/>
          <w:color w:val="000000"/>
        </w:rPr>
        <w:t>for</w:t>
      </w:r>
      <w:r>
        <w:rPr>
          <w:rFonts w:cs="Arial"/>
          <w:bCs/>
          <w:color w:val="000000"/>
        </w:rPr>
        <w:t xml:space="preserve"> access</w:t>
      </w:r>
      <w:r w:rsidR="00F15FCC">
        <w:rPr>
          <w:rFonts w:cs="Arial"/>
          <w:bCs/>
          <w:color w:val="000000"/>
        </w:rPr>
        <w:t xml:space="preserve"> to the survey</w:t>
      </w:r>
      <w:r>
        <w:rPr>
          <w:rFonts w:cs="Arial"/>
          <w:bCs/>
          <w:color w:val="000000"/>
        </w:rPr>
        <w:t>.</w:t>
      </w:r>
      <w:r w:rsidR="00F15FCC">
        <w:rPr>
          <w:rFonts w:cs="Arial"/>
          <w:bCs/>
          <w:color w:val="000000"/>
        </w:rPr>
        <w:t xml:space="preserve">  With the level of pa</w:t>
      </w:r>
      <w:r w:rsidR="00F15FCC">
        <w:rPr>
          <w:rFonts w:cs="Arial"/>
          <w:bCs/>
          <w:color w:val="000000"/>
        </w:rPr>
        <w:t>r</w:t>
      </w:r>
      <w:r w:rsidR="00F15FCC">
        <w:rPr>
          <w:rFonts w:cs="Arial"/>
          <w:bCs/>
          <w:color w:val="000000"/>
        </w:rPr>
        <w:t xml:space="preserve">ticipation </w:t>
      </w:r>
      <w:r w:rsidR="00183F6A">
        <w:rPr>
          <w:rFonts w:cs="Arial"/>
          <w:bCs/>
          <w:color w:val="000000"/>
        </w:rPr>
        <w:t>that took place</w:t>
      </w:r>
      <w:r w:rsidR="00F15FCC">
        <w:rPr>
          <w:rFonts w:cs="Arial"/>
          <w:bCs/>
          <w:color w:val="000000"/>
        </w:rPr>
        <w:t>,</w:t>
      </w:r>
      <w:r>
        <w:rPr>
          <w:rFonts w:cs="Arial"/>
          <w:bCs/>
          <w:color w:val="000000"/>
        </w:rPr>
        <w:t xml:space="preserve"> </w:t>
      </w:r>
      <w:r w:rsidR="00F15FCC">
        <w:rPr>
          <w:rFonts w:cs="Arial"/>
          <w:bCs/>
          <w:color w:val="000000"/>
        </w:rPr>
        <w:t xml:space="preserve">BLS is </w:t>
      </w:r>
      <w:r w:rsidR="00183F6A">
        <w:rPr>
          <w:rFonts w:cs="Arial"/>
          <w:bCs/>
          <w:color w:val="000000"/>
        </w:rPr>
        <w:t xml:space="preserve">more </w:t>
      </w:r>
      <w:r w:rsidR="00F15FCC">
        <w:rPr>
          <w:rFonts w:cs="Arial"/>
          <w:bCs/>
          <w:color w:val="000000"/>
        </w:rPr>
        <w:t xml:space="preserve">confident in the </w:t>
      </w:r>
      <w:r>
        <w:rPr>
          <w:rFonts w:cs="Arial"/>
          <w:bCs/>
          <w:color w:val="000000"/>
        </w:rPr>
        <w:t>survey</w:t>
      </w:r>
      <w:r w:rsidR="00F15FCC">
        <w:rPr>
          <w:rFonts w:cs="Arial"/>
          <w:bCs/>
          <w:color w:val="000000"/>
        </w:rPr>
        <w:t xml:space="preserve"> </w:t>
      </w:r>
      <w:r w:rsidR="00183F6A">
        <w:rPr>
          <w:rFonts w:cs="Arial"/>
          <w:bCs/>
          <w:color w:val="000000"/>
        </w:rPr>
        <w:t>analyses</w:t>
      </w:r>
      <w:r w:rsidR="00F15FCC">
        <w:rPr>
          <w:rFonts w:cs="Arial"/>
          <w:bCs/>
          <w:color w:val="000000"/>
        </w:rPr>
        <w:t xml:space="preserve">, and the </w:t>
      </w:r>
      <w:r w:rsidR="00183F6A">
        <w:rPr>
          <w:rFonts w:cs="Arial"/>
          <w:bCs/>
          <w:color w:val="000000"/>
        </w:rPr>
        <w:t>range</w:t>
      </w:r>
      <w:r w:rsidR="00F15FCC">
        <w:rPr>
          <w:rFonts w:cs="Arial"/>
          <w:bCs/>
          <w:color w:val="000000"/>
        </w:rPr>
        <w:t xml:space="preserve"> of</w:t>
      </w:r>
      <w:r>
        <w:rPr>
          <w:rFonts w:cs="Arial"/>
          <w:bCs/>
          <w:color w:val="000000"/>
        </w:rPr>
        <w:t xml:space="preserve"> positions and perspective</w:t>
      </w:r>
      <w:r w:rsidR="00F15FCC">
        <w:rPr>
          <w:rFonts w:cs="Arial"/>
          <w:bCs/>
          <w:color w:val="000000"/>
        </w:rPr>
        <w:t>s that have been recorded.</w:t>
      </w:r>
    </w:p>
    <w:p w:rsidR="00CC0733" w:rsidRPr="004A635A" w:rsidRDefault="00CC0733" w:rsidP="00CC0733">
      <w:pPr>
        <w:rPr>
          <w:rFonts w:cs="Arial"/>
          <w:bCs/>
          <w:color w:val="000000"/>
        </w:rPr>
      </w:pPr>
      <w:r w:rsidRPr="004A635A">
        <w:rPr>
          <w:rFonts w:cs="Arial"/>
          <w:bCs/>
          <w:color w:val="000000"/>
        </w:rPr>
        <w:br w:type="page"/>
      </w:r>
    </w:p>
    <w:p w:rsidR="00CC0733" w:rsidRDefault="00CC0733" w:rsidP="00E509C5">
      <w:pPr>
        <w:pStyle w:val="Heading2"/>
      </w:pPr>
      <w:r>
        <w:lastRenderedPageBreak/>
        <w:t xml:space="preserve">SURVEY STRUCTURE AND </w:t>
      </w:r>
      <w:r w:rsidR="00AD6822">
        <w:t>OBJECTIVES</w:t>
      </w:r>
    </w:p>
    <w:p w:rsidR="00CC0733" w:rsidRDefault="00CC0733" w:rsidP="00CC0733">
      <w:pPr>
        <w:widowControl w:val="0"/>
        <w:autoSpaceDE w:val="0"/>
        <w:autoSpaceDN w:val="0"/>
        <w:adjustRightInd w:val="0"/>
        <w:spacing w:before="200" w:after="0"/>
        <w:rPr>
          <w:rFonts w:cs="Arial"/>
          <w:bCs/>
          <w:color w:val="000000"/>
        </w:rPr>
      </w:pPr>
    </w:p>
    <w:p w:rsidR="00A93A6E" w:rsidRPr="000239A7" w:rsidRDefault="00A93A6E" w:rsidP="00A93A6E">
      <w:pPr>
        <w:widowControl w:val="0"/>
        <w:autoSpaceDE w:val="0"/>
        <w:autoSpaceDN w:val="0"/>
        <w:adjustRightInd w:val="0"/>
        <w:spacing w:after="0"/>
        <w:rPr>
          <w:b/>
          <w:bCs/>
          <w:color w:val="000000"/>
          <w:sz w:val="28"/>
          <w:szCs w:val="28"/>
          <w:u w:val="single"/>
        </w:rPr>
      </w:pPr>
      <w:r w:rsidRPr="000239A7">
        <w:rPr>
          <w:b/>
          <w:bCs/>
          <w:color w:val="000000"/>
          <w:sz w:val="28"/>
          <w:szCs w:val="28"/>
          <w:u w:val="single"/>
        </w:rPr>
        <w:t>Survey Objectives and Participants</w:t>
      </w:r>
    </w:p>
    <w:p w:rsidR="00A93A6E" w:rsidRPr="004A635A" w:rsidRDefault="00A93A6E" w:rsidP="00A93A6E">
      <w:pPr>
        <w:widowControl w:val="0"/>
        <w:autoSpaceDE w:val="0"/>
        <w:autoSpaceDN w:val="0"/>
        <w:adjustRightInd w:val="0"/>
        <w:spacing w:after="0"/>
        <w:rPr>
          <w:b/>
          <w:bCs/>
          <w:color w:val="000000"/>
          <w:u w:val="single"/>
        </w:rPr>
      </w:pPr>
    </w:p>
    <w:p w:rsidR="00A93A6E" w:rsidRPr="004A635A" w:rsidRDefault="00A93A6E" w:rsidP="00A93A6E">
      <w:pPr>
        <w:pStyle w:val="Normal3Paragraph"/>
        <w:spacing w:before="0" w:after="0"/>
        <w:ind w:left="0"/>
        <w:rPr>
          <w:rFonts w:ascii="Minion Pro" w:hAnsi="Minion Pro" w:cs="Times New Roman"/>
          <w:bCs/>
          <w:color w:val="000000"/>
        </w:rPr>
      </w:pPr>
      <w:r w:rsidRPr="004A635A">
        <w:rPr>
          <w:rFonts w:ascii="Minion Pro" w:hAnsi="Minion Pro" w:cs="Times New Roman"/>
          <w:bCs/>
          <w:color w:val="000000"/>
        </w:rPr>
        <w:t xml:space="preserve">During the summer of 2014, </w:t>
      </w:r>
      <w:r w:rsidR="004A635A">
        <w:rPr>
          <w:rFonts w:ascii="Minion Pro" w:hAnsi="Minion Pro" w:cs="Times New Roman"/>
          <w:bCs/>
          <w:color w:val="000000"/>
        </w:rPr>
        <w:t>BLS</w:t>
      </w:r>
      <w:r w:rsidRPr="004A635A">
        <w:rPr>
          <w:rFonts w:ascii="Minion Pro" w:hAnsi="Minion Pro" w:cs="Times New Roman"/>
          <w:bCs/>
          <w:color w:val="000000"/>
        </w:rPr>
        <w:t xml:space="preserve"> conducted the Employer Drug Testing Survey using an online resource called “Survey Monkey”.   The principal objective of this survey was to gather information about the experiences, attitudes</w:t>
      </w:r>
      <w:r w:rsidR="002C1B06">
        <w:rPr>
          <w:rFonts w:ascii="Minion Pro" w:hAnsi="Minion Pro" w:cs="Times New Roman"/>
          <w:bCs/>
          <w:color w:val="000000"/>
        </w:rPr>
        <w:t>,</w:t>
      </w:r>
      <w:r w:rsidRPr="004A635A">
        <w:rPr>
          <w:rFonts w:ascii="Minion Pro" w:hAnsi="Minion Pro" w:cs="Times New Roman"/>
          <w:bCs/>
          <w:color w:val="000000"/>
        </w:rPr>
        <w:t xml:space="preserve"> constraints and priorities of the stakeholders involved i</w:t>
      </w:r>
      <w:r w:rsidR="004A635A">
        <w:rPr>
          <w:rFonts w:ascii="Minion Pro" w:hAnsi="Minion Pro" w:cs="Times New Roman"/>
          <w:bCs/>
          <w:color w:val="000000"/>
        </w:rPr>
        <w:t>n the Maine drug testing law.  While some information from the survey may be used for quantitative comparisons and preference evaluations, i</w:t>
      </w:r>
      <w:r w:rsidRPr="004A635A">
        <w:rPr>
          <w:rFonts w:ascii="Minion Pro" w:hAnsi="Minion Pro" w:cs="Times New Roman"/>
          <w:bCs/>
          <w:color w:val="000000"/>
        </w:rPr>
        <w:t xml:space="preserve">t was </w:t>
      </w:r>
      <w:r w:rsidR="004A635A">
        <w:rPr>
          <w:rFonts w:ascii="Minion Pro" w:hAnsi="Minion Pro" w:cs="Times New Roman"/>
          <w:bCs/>
          <w:color w:val="000000"/>
        </w:rPr>
        <w:t xml:space="preserve">not intended </w:t>
      </w:r>
      <w:r w:rsidR="002C1B06">
        <w:rPr>
          <w:rFonts w:ascii="Minion Pro" w:hAnsi="Minion Pro" w:cs="Times New Roman"/>
          <w:bCs/>
          <w:color w:val="000000"/>
        </w:rPr>
        <w:t>to be</w:t>
      </w:r>
      <w:r w:rsidR="004A635A">
        <w:rPr>
          <w:rFonts w:ascii="Minion Pro" w:hAnsi="Minion Pro" w:cs="Times New Roman"/>
          <w:bCs/>
          <w:color w:val="000000"/>
        </w:rPr>
        <w:t xml:space="preserve"> an opinion poll</w:t>
      </w:r>
      <w:r w:rsidRPr="004A635A">
        <w:rPr>
          <w:rFonts w:ascii="Minion Pro" w:hAnsi="Minion Pro" w:cs="Times New Roman"/>
          <w:bCs/>
          <w:color w:val="000000"/>
        </w:rPr>
        <w:t xml:space="preserve"> or a statis</w:t>
      </w:r>
      <w:r w:rsidR="004A635A">
        <w:rPr>
          <w:rFonts w:ascii="Minion Pro" w:hAnsi="Minion Pro" w:cs="Times New Roman"/>
          <w:bCs/>
          <w:color w:val="000000"/>
        </w:rPr>
        <w:t>tically-valid population study.  R</w:t>
      </w:r>
      <w:r w:rsidRPr="004A635A">
        <w:rPr>
          <w:rFonts w:ascii="Minion Pro" w:hAnsi="Minion Pro" w:cs="Times New Roman"/>
          <w:bCs/>
          <w:color w:val="000000"/>
        </w:rPr>
        <w:t xml:space="preserve">ather, it was meant to </w:t>
      </w:r>
      <w:r w:rsidR="004A635A">
        <w:rPr>
          <w:rFonts w:ascii="Minion Pro" w:hAnsi="Minion Pro" w:cs="Times New Roman"/>
          <w:bCs/>
          <w:color w:val="000000"/>
        </w:rPr>
        <w:t>facilitate</w:t>
      </w:r>
      <w:r w:rsidRPr="004A635A">
        <w:rPr>
          <w:rFonts w:ascii="Minion Pro" w:hAnsi="Minion Pro" w:cs="Times New Roman"/>
          <w:bCs/>
          <w:color w:val="000000"/>
        </w:rPr>
        <w:t xml:space="preserve"> an “electronic public meeting” where a</w:t>
      </w:r>
      <w:r w:rsidR="004A635A">
        <w:rPr>
          <w:rFonts w:ascii="Minion Pro" w:hAnsi="Minion Pro" w:cs="Times New Roman"/>
          <w:bCs/>
          <w:color w:val="000000"/>
        </w:rPr>
        <w:t>nyone who wished to participate</w:t>
      </w:r>
      <w:r w:rsidRPr="004A635A">
        <w:rPr>
          <w:rFonts w:ascii="Minion Pro" w:hAnsi="Minion Pro" w:cs="Times New Roman"/>
          <w:bCs/>
          <w:color w:val="000000"/>
        </w:rPr>
        <w:t xml:space="preserve"> was allowed to answer any of the questions about drug testing policy issues and drug testing regulation generally, and express their opinions and preferences and experiences.  It took the place of public gatherings, workgroups and perhaps formal hearings that might </w:t>
      </w:r>
      <w:r w:rsidR="004A635A">
        <w:rPr>
          <w:rFonts w:ascii="Minion Pro" w:hAnsi="Minion Pro" w:cs="Times New Roman"/>
          <w:bCs/>
          <w:color w:val="000000"/>
        </w:rPr>
        <w:t>otherwise solicit</w:t>
      </w:r>
      <w:r w:rsidRPr="004A635A">
        <w:rPr>
          <w:rFonts w:ascii="Minion Pro" w:hAnsi="Minion Pro" w:cs="Times New Roman"/>
          <w:bCs/>
          <w:color w:val="000000"/>
        </w:rPr>
        <w:t xml:space="preserve"> that information.  </w:t>
      </w:r>
    </w:p>
    <w:p w:rsidR="00D92CFF" w:rsidRPr="004A635A" w:rsidRDefault="00D92CFF" w:rsidP="00AD6822">
      <w:pPr>
        <w:pStyle w:val="Normal3Paragraph"/>
        <w:spacing w:before="0" w:after="0"/>
        <w:ind w:left="0"/>
        <w:rPr>
          <w:rFonts w:ascii="Minion Pro" w:hAnsi="Minion Pro" w:cs="Times New Roman"/>
          <w:b/>
          <w:bCs/>
          <w:color w:val="000000"/>
          <w:u w:val="single"/>
        </w:rPr>
      </w:pPr>
    </w:p>
    <w:p w:rsidR="00A93A6E" w:rsidRPr="004A635A" w:rsidRDefault="00A93A6E" w:rsidP="00A93A6E">
      <w:pPr>
        <w:widowControl w:val="0"/>
        <w:autoSpaceDE w:val="0"/>
        <w:autoSpaceDN w:val="0"/>
        <w:adjustRightInd w:val="0"/>
        <w:spacing w:after="0"/>
        <w:rPr>
          <w:rFonts w:cs="Arial"/>
          <w:bCs/>
          <w:color w:val="000000"/>
        </w:rPr>
      </w:pPr>
      <w:r w:rsidRPr="004A635A">
        <w:rPr>
          <w:rFonts w:cs="Arial"/>
          <w:bCs/>
          <w:color w:val="000000"/>
        </w:rPr>
        <w:t xml:space="preserve">Survey participants were drawn from three sources.  </w:t>
      </w:r>
      <w:r w:rsidR="004A635A">
        <w:rPr>
          <w:rFonts w:cs="Arial"/>
          <w:bCs/>
          <w:color w:val="000000"/>
        </w:rPr>
        <w:t>BLS</w:t>
      </w:r>
      <w:r w:rsidRPr="004A635A">
        <w:rPr>
          <w:rFonts w:cs="Arial"/>
          <w:bCs/>
          <w:color w:val="000000"/>
        </w:rPr>
        <w:t xml:space="preserve"> assembled an initial list of 56 stakeholders i</w:t>
      </w:r>
      <w:r w:rsidRPr="004A635A">
        <w:rPr>
          <w:rFonts w:cs="Arial"/>
          <w:bCs/>
          <w:color w:val="000000"/>
        </w:rPr>
        <w:t>n</w:t>
      </w:r>
      <w:r w:rsidRPr="004A635A">
        <w:rPr>
          <w:rFonts w:cs="Arial"/>
          <w:bCs/>
          <w:color w:val="000000"/>
        </w:rPr>
        <w:t xml:space="preserve">cluding employers, employees, representatives of substance abuse sampling agencies, labor organizations, attorneys, and others who had come in contact with BLS staff </w:t>
      </w:r>
      <w:r w:rsidR="00974B1B">
        <w:rPr>
          <w:rFonts w:cs="Arial"/>
          <w:bCs/>
          <w:color w:val="000000"/>
        </w:rPr>
        <w:t>in</w:t>
      </w:r>
      <w:r w:rsidRPr="004A635A">
        <w:rPr>
          <w:rFonts w:cs="Arial"/>
          <w:bCs/>
          <w:color w:val="000000"/>
        </w:rPr>
        <w:t xml:space="preserve"> the course of administering the law.  Then </w:t>
      </w:r>
      <w:r w:rsidR="004A635A">
        <w:rPr>
          <w:rFonts w:cs="Arial"/>
          <w:bCs/>
          <w:color w:val="000000"/>
        </w:rPr>
        <w:t>BLS</w:t>
      </w:r>
      <w:r w:rsidRPr="004A635A">
        <w:rPr>
          <w:rFonts w:cs="Arial"/>
          <w:bCs/>
          <w:color w:val="000000"/>
        </w:rPr>
        <w:t xml:space="preserve"> added its entire list of 498 active drug testing policy holders.  Finally, an additional 64 partic</w:t>
      </w:r>
      <w:r w:rsidRPr="004A635A">
        <w:rPr>
          <w:rFonts w:cs="Arial"/>
          <w:bCs/>
          <w:color w:val="000000"/>
        </w:rPr>
        <w:t>i</w:t>
      </w:r>
      <w:r w:rsidRPr="004A635A">
        <w:rPr>
          <w:rFonts w:cs="Arial"/>
          <w:bCs/>
          <w:color w:val="000000"/>
        </w:rPr>
        <w:t xml:space="preserve">pants were enlisted via the Department’s </w:t>
      </w:r>
      <w:r w:rsidR="004A635A" w:rsidRPr="004A635A">
        <w:rPr>
          <w:rFonts w:cs="Arial"/>
          <w:bCs/>
          <w:color w:val="000000"/>
        </w:rPr>
        <w:t>statewide</w:t>
      </w:r>
      <w:r w:rsidR="004A635A">
        <w:rPr>
          <w:rFonts w:cs="Arial"/>
          <w:bCs/>
          <w:color w:val="000000"/>
        </w:rPr>
        <w:t xml:space="preserve"> press</w:t>
      </w:r>
      <w:r w:rsidR="004A635A" w:rsidRPr="004A635A">
        <w:rPr>
          <w:rFonts w:cs="Arial"/>
          <w:bCs/>
          <w:color w:val="000000"/>
        </w:rPr>
        <w:t xml:space="preserve"> </w:t>
      </w:r>
      <w:r w:rsidRPr="004A635A">
        <w:rPr>
          <w:rFonts w:cs="Arial"/>
          <w:bCs/>
          <w:color w:val="000000"/>
        </w:rPr>
        <w:t>releases</w:t>
      </w:r>
      <w:r w:rsidR="00974B1B">
        <w:rPr>
          <w:rFonts w:cs="Arial"/>
          <w:bCs/>
          <w:color w:val="000000"/>
        </w:rPr>
        <w:t xml:space="preserve"> that invited</w:t>
      </w:r>
      <w:r w:rsidRPr="004A635A">
        <w:rPr>
          <w:rFonts w:cs="Arial"/>
          <w:bCs/>
          <w:color w:val="000000"/>
        </w:rPr>
        <w:t xml:space="preserve"> any</w:t>
      </w:r>
      <w:r w:rsidR="00974B1B">
        <w:rPr>
          <w:rFonts w:cs="Arial"/>
          <w:bCs/>
          <w:color w:val="000000"/>
        </w:rPr>
        <w:t>one</w:t>
      </w:r>
      <w:r w:rsidRPr="004A635A">
        <w:rPr>
          <w:rFonts w:cs="Arial"/>
          <w:bCs/>
          <w:color w:val="000000"/>
        </w:rPr>
        <w:t xml:space="preserve"> interested to partic</w:t>
      </w:r>
      <w:r w:rsidRPr="004A635A">
        <w:rPr>
          <w:rFonts w:cs="Arial"/>
          <w:bCs/>
          <w:color w:val="000000"/>
        </w:rPr>
        <w:t>i</w:t>
      </w:r>
      <w:r w:rsidRPr="004A635A">
        <w:rPr>
          <w:rFonts w:cs="Arial"/>
          <w:bCs/>
          <w:color w:val="000000"/>
        </w:rPr>
        <w:t>pate in the survey.</w:t>
      </w:r>
    </w:p>
    <w:p w:rsidR="00A93A6E" w:rsidRDefault="00A93A6E" w:rsidP="00A93A6E">
      <w:pPr>
        <w:pStyle w:val="Normal3Paragraph"/>
        <w:spacing w:before="0" w:after="0"/>
        <w:ind w:left="0"/>
        <w:rPr>
          <w:rFonts w:ascii="Minion Pro" w:hAnsi="Minion Pro" w:cs="Times New Roman"/>
          <w:b/>
          <w:bCs/>
          <w:color w:val="000000"/>
          <w:u w:val="single"/>
        </w:rPr>
      </w:pPr>
    </w:p>
    <w:p w:rsidR="000239A7" w:rsidRPr="004A635A" w:rsidRDefault="000239A7" w:rsidP="00A93A6E">
      <w:pPr>
        <w:pStyle w:val="Normal3Paragraph"/>
        <w:spacing w:before="0" w:after="0"/>
        <w:ind w:left="0"/>
        <w:rPr>
          <w:rFonts w:ascii="Minion Pro" w:hAnsi="Minion Pro" w:cs="Times New Roman"/>
          <w:b/>
          <w:bCs/>
          <w:color w:val="000000"/>
          <w:u w:val="single"/>
        </w:rPr>
      </w:pPr>
    </w:p>
    <w:p w:rsidR="00A93A6E" w:rsidRPr="000239A7" w:rsidRDefault="00A93A6E" w:rsidP="00A93A6E">
      <w:pPr>
        <w:pStyle w:val="Normal3Paragraph"/>
        <w:spacing w:before="0" w:after="0"/>
        <w:ind w:left="0"/>
        <w:rPr>
          <w:rFonts w:ascii="Minion Pro" w:hAnsi="Minion Pro" w:cs="Times New Roman"/>
          <w:b/>
          <w:bCs/>
          <w:color w:val="000000"/>
          <w:sz w:val="28"/>
          <w:szCs w:val="28"/>
          <w:u w:val="single"/>
        </w:rPr>
      </w:pPr>
      <w:r w:rsidRPr="000239A7">
        <w:rPr>
          <w:rFonts w:ascii="Minion Pro" w:hAnsi="Minion Pro" w:cs="Times New Roman"/>
          <w:b/>
          <w:bCs/>
          <w:color w:val="000000"/>
          <w:sz w:val="28"/>
          <w:szCs w:val="28"/>
          <w:u w:val="single"/>
        </w:rPr>
        <w:t>Survey Structure</w:t>
      </w:r>
    </w:p>
    <w:p w:rsidR="00A93A6E" w:rsidRPr="004A635A" w:rsidRDefault="00A93A6E" w:rsidP="00AD6822">
      <w:pPr>
        <w:pStyle w:val="Normal3Paragraph"/>
        <w:spacing w:before="0" w:after="0"/>
        <w:ind w:left="0"/>
        <w:rPr>
          <w:rFonts w:ascii="Minion Pro" w:hAnsi="Minion Pro" w:cs="Times New Roman"/>
          <w:bCs/>
          <w:color w:val="000000"/>
        </w:rPr>
      </w:pPr>
    </w:p>
    <w:p w:rsidR="000B71CA" w:rsidRPr="004A635A" w:rsidRDefault="00546B61" w:rsidP="00AD6822">
      <w:pPr>
        <w:pStyle w:val="Normal3Paragraph"/>
        <w:spacing w:before="0" w:after="0"/>
        <w:ind w:left="0"/>
        <w:rPr>
          <w:rFonts w:ascii="Minion Pro" w:hAnsi="Minion Pro" w:cs="Times New Roman"/>
          <w:bCs/>
          <w:color w:val="000000"/>
        </w:rPr>
      </w:pPr>
      <w:r w:rsidRPr="004A635A">
        <w:rPr>
          <w:rFonts w:ascii="Minion Pro" w:hAnsi="Minion Pro" w:cs="Times New Roman"/>
          <w:szCs w:val="24"/>
        </w:rPr>
        <w:t xml:space="preserve">Survey Monkey is a popular online survey site that is used </w:t>
      </w:r>
      <w:r w:rsidR="002C1B06">
        <w:rPr>
          <w:rFonts w:ascii="Minion Pro" w:hAnsi="Minion Pro" w:cs="Times New Roman"/>
          <w:szCs w:val="24"/>
        </w:rPr>
        <w:t>to measure</w:t>
      </w:r>
      <w:r w:rsidRPr="004A635A">
        <w:rPr>
          <w:rFonts w:ascii="Minion Pro" w:hAnsi="Minion Pro" w:cs="Times New Roman"/>
          <w:szCs w:val="24"/>
        </w:rPr>
        <w:t xml:space="preserve"> consumer satisfaction; public opinion; market</w:t>
      </w:r>
      <w:r w:rsidR="002C1B06">
        <w:rPr>
          <w:rFonts w:ascii="Minion Pro" w:hAnsi="Minion Pro" w:cs="Times New Roman"/>
          <w:szCs w:val="24"/>
        </w:rPr>
        <w:t>ing trends</w:t>
      </w:r>
      <w:r w:rsidRPr="004A635A">
        <w:rPr>
          <w:rFonts w:ascii="Minion Pro" w:hAnsi="Minion Pro" w:cs="Times New Roman"/>
          <w:szCs w:val="24"/>
        </w:rPr>
        <w:t>, education, and human resources research; event planning; and other such information gathering activities.  The Maine Department of Labor uses its Survey Monkey account routinely as a cost-effective way to gather preferences, opinions and other information from stakeholders and members of the public.  A Survey Monkey questionnaire is relatively easy for BLS to design and for most people to use</w:t>
      </w:r>
      <w:r w:rsidR="000239A7">
        <w:rPr>
          <w:rFonts w:ascii="Minion Pro" w:hAnsi="Minion Pro" w:cs="Times New Roman"/>
          <w:szCs w:val="24"/>
        </w:rPr>
        <w:t xml:space="preserve">.  </w:t>
      </w:r>
      <w:r w:rsidRPr="004A635A">
        <w:rPr>
          <w:rFonts w:ascii="Minion Pro" w:hAnsi="Minion Pro" w:cs="Times New Roman"/>
          <w:szCs w:val="24"/>
        </w:rPr>
        <w:t xml:space="preserve">Survey Monkey also tabulates responses and provides the typical statistical and analytical functions.  One drawback is that </w:t>
      </w:r>
      <w:r w:rsidR="000239A7">
        <w:rPr>
          <w:rFonts w:ascii="Minion Pro" w:hAnsi="Minion Pro" w:cs="Times New Roman"/>
          <w:szCs w:val="24"/>
        </w:rPr>
        <w:t>Survey Monkey</w:t>
      </w:r>
      <w:r w:rsidRPr="004A635A">
        <w:rPr>
          <w:rFonts w:ascii="Minion Pro" w:hAnsi="Minion Pro" w:cs="Times New Roman"/>
          <w:szCs w:val="24"/>
        </w:rPr>
        <w:t xml:space="preserve"> requires participants to be able to use the internet and online resources</w:t>
      </w:r>
      <w:r w:rsidR="00974B1B">
        <w:rPr>
          <w:rFonts w:ascii="Minion Pro" w:hAnsi="Minion Pro" w:cs="Times New Roman"/>
          <w:szCs w:val="24"/>
        </w:rPr>
        <w:t>; so</w:t>
      </w:r>
      <w:r w:rsidRPr="004A635A">
        <w:rPr>
          <w:rFonts w:ascii="Minion Pro" w:hAnsi="Minion Pro" w:cs="Times New Roman"/>
          <w:szCs w:val="24"/>
        </w:rPr>
        <w:t xml:space="preserve"> </w:t>
      </w:r>
      <w:r w:rsidR="000239A7">
        <w:rPr>
          <w:rFonts w:ascii="Minion Pro" w:hAnsi="Minion Pro" w:cs="Times New Roman"/>
          <w:szCs w:val="24"/>
        </w:rPr>
        <w:t>for this survey</w:t>
      </w:r>
      <w:r w:rsidR="00974B1B">
        <w:rPr>
          <w:rFonts w:ascii="Minion Pro" w:hAnsi="Minion Pro" w:cs="Times New Roman"/>
          <w:szCs w:val="24"/>
        </w:rPr>
        <w:t>,</w:t>
      </w:r>
      <w:r w:rsidR="000239A7">
        <w:rPr>
          <w:rFonts w:ascii="Minion Pro" w:hAnsi="Minion Pro" w:cs="Times New Roman"/>
          <w:szCs w:val="24"/>
        </w:rPr>
        <w:t xml:space="preserve"> </w:t>
      </w:r>
      <w:r w:rsidR="004A635A">
        <w:rPr>
          <w:rFonts w:ascii="Minion Pro" w:hAnsi="Minion Pro" w:cs="Times New Roman"/>
          <w:szCs w:val="24"/>
        </w:rPr>
        <w:t>BLS</w:t>
      </w:r>
      <w:r w:rsidRPr="004A635A">
        <w:rPr>
          <w:rFonts w:ascii="Minion Pro" w:hAnsi="Minion Pro" w:cs="Times New Roman"/>
          <w:szCs w:val="24"/>
        </w:rPr>
        <w:t xml:space="preserve"> spent </w:t>
      </w:r>
      <w:r w:rsidR="000239A7">
        <w:rPr>
          <w:rFonts w:ascii="Minion Pro" w:hAnsi="Minion Pro" w:cs="Times New Roman"/>
          <w:szCs w:val="24"/>
        </w:rPr>
        <w:t>a lot of</w:t>
      </w:r>
      <w:r w:rsidRPr="004A635A">
        <w:rPr>
          <w:rFonts w:ascii="Minion Pro" w:hAnsi="Minion Pro" w:cs="Times New Roman"/>
          <w:szCs w:val="24"/>
        </w:rPr>
        <w:t xml:space="preserve"> time and effort </w:t>
      </w:r>
      <w:r w:rsidR="000239A7">
        <w:rPr>
          <w:rFonts w:ascii="Minion Pro" w:hAnsi="Minion Pro" w:cs="Times New Roman"/>
          <w:szCs w:val="24"/>
        </w:rPr>
        <w:t xml:space="preserve">beforehand </w:t>
      </w:r>
      <w:r w:rsidR="00974B1B">
        <w:rPr>
          <w:rFonts w:ascii="Minion Pro" w:hAnsi="Minion Pro" w:cs="Times New Roman"/>
          <w:szCs w:val="24"/>
        </w:rPr>
        <w:t>confirming</w:t>
      </w:r>
      <w:r w:rsidRPr="004A635A">
        <w:rPr>
          <w:rFonts w:ascii="Minion Pro" w:hAnsi="Minion Pro" w:cs="Times New Roman"/>
          <w:szCs w:val="24"/>
        </w:rPr>
        <w:t xml:space="preserve"> email addresses </w:t>
      </w:r>
      <w:r w:rsidR="000239A7">
        <w:rPr>
          <w:rFonts w:ascii="Minion Pro" w:hAnsi="Minion Pro" w:cs="Times New Roman"/>
          <w:szCs w:val="24"/>
        </w:rPr>
        <w:t>for</w:t>
      </w:r>
      <w:r w:rsidR="00D92CFF" w:rsidRPr="004A635A">
        <w:rPr>
          <w:rFonts w:ascii="Minion Pro" w:hAnsi="Minion Pro" w:cs="Times New Roman"/>
          <w:szCs w:val="24"/>
        </w:rPr>
        <w:t xml:space="preserve"> all</w:t>
      </w:r>
      <w:r w:rsidR="000239A7">
        <w:rPr>
          <w:rFonts w:ascii="Minion Pro" w:hAnsi="Minion Pro" w:cs="Times New Roman"/>
          <w:szCs w:val="24"/>
        </w:rPr>
        <w:t xml:space="preserve"> participants to be </w:t>
      </w:r>
      <w:r w:rsidRPr="004A635A">
        <w:rPr>
          <w:rFonts w:ascii="Minion Pro" w:hAnsi="Minion Pro" w:cs="Times New Roman"/>
          <w:szCs w:val="24"/>
        </w:rPr>
        <w:t>sure they</w:t>
      </w:r>
      <w:r w:rsidR="00974B1B">
        <w:rPr>
          <w:rFonts w:ascii="Minion Pro" w:hAnsi="Minion Pro" w:cs="Times New Roman"/>
          <w:szCs w:val="24"/>
        </w:rPr>
        <w:t xml:space="preserve"> would receive an email invitation and be able to</w:t>
      </w:r>
      <w:r w:rsidRPr="004A635A">
        <w:rPr>
          <w:rFonts w:ascii="Minion Pro" w:hAnsi="Minion Pro" w:cs="Times New Roman"/>
          <w:szCs w:val="24"/>
        </w:rPr>
        <w:t xml:space="preserve"> </w:t>
      </w:r>
      <w:r w:rsidR="00D92CFF" w:rsidRPr="004A635A">
        <w:rPr>
          <w:rFonts w:ascii="Minion Pro" w:hAnsi="Minion Pro" w:cs="Times New Roman"/>
          <w:szCs w:val="24"/>
        </w:rPr>
        <w:t>access</w:t>
      </w:r>
      <w:r w:rsidRPr="004A635A">
        <w:rPr>
          <w:rFonts w:ascii="Minion Pro" w:hAnsi="Minion Pro" w:cs="Times New Roman"/>
          <w:szCs w:val="24"/>
        </w:rPr>
        <w:t xml:space="preserve"> </w:t>
      </w:r>
      <w:r w:rsidR="000239A7">
        <w:rPr>
          <w:rFonts w:ascii="Minion Pro" w:hAnsi="Minion Pro" w:cs="Times New Roman"/>
          <w:szCs w:val="24"/>
        </w:rPr>
        <w:t>Survey Monkey</w:t>
      </w:r>
      <w:r w:rsidR="00974B1B">
        <w:rPr>
          <w:rFonts w:ascii="Minion Pro" w:hAnsi="Minion Pro" w:cs="Times New Roman"/>
          <w:szCs w:val="24"/>
        </w:rPr>
        <w:t xml:space="preserve"> online</w:t>
      </w:r>
      <w:r w:rsidRPr="004A635A">
        <w:rPr>
          <w:rFonts w:ascii="Minion Pro" w:hAnsi="Minion Pro" w:cs="Times New Roman"/>
          <w:szCs w:val="24"/>
        </w:rPr>
        <w:t>.</w:t>
      </w:r>
      <w:r w:rsidRPr="004A635A">
        <w:rPr>
          <w:rFonts w:ascii="Minion Pro" w:hAnsi="Minion Pro" w:cs="Times New Roman"/>
          <w:bCs/>
          <w:color w:val="000000"/>
        </w:rPr>
        <w:t xml:space="preserve">  </w:t>
      </w:r>
    </w:p>
    <w:p w:rsidR="00AD6822" w:rsidRPr="004A635A" w:rsidRDefault="00AD6822" w:rsidP="00AD6822">
      <w:pPr>
        <w:widowControl w:val="0"/>
        <w:autoSpaceDE w:val="0"/>
        <w:autoSpaceDN w:val="0"/>
        <w:adjustRightInd w:val="0"/>
        <w:spacing w:after="0"/>
        <w:rPr>
          <w:rFonts w:cs="Arial"/>
          <w:bCs/>
          <w:color w:val="000000"/>
        </w:rPr>
      </w:pPr>
    </w:p>
    <w:p w:rsidR="00AD6822" w:rsidRDefault="000239A7" w:rsidP="00AD6822">
      <w:pPr>
        <w:widowControl w:val="0"/>
        <w:autoSpaceDE w:val="0"/>
        <w:autoSpaceDN w:val="0"/>
        <w:adjustRightInd w:val="0"/>
        <w:spacing w:after="0"/>
        <w:rPr>
          <w:rFonts w:cs="Arial"/>
          <w:bCs/>
          <w:color w:val="000000"/>
        </w:rPr>
      </w:pPr>
      <w:r>
        <w:rPr>
          <w:rFonts w:cs="Arial"/>
          <w:bCs/>
          <w:color w:val="000000"/>
        </w:rPr>
        <w:t xml:space="preserve">The </w:t>
      </w:r>
      <w:r w:rsidR="00974B1B">
        <w:rPr>
          <w:rFonts w:cs="Arial"/>
          <w:bCs/>
          <w:color w:val="000000"/>
        </w:rPr>
        <w:t xml:space="preserve">employer drug testing </w:t>
      </w:r>
      <w:r>
        <w:rPr>
          <w:rFonts w:cs="Arial"/>
          <w:bCs/>
          <w:color w:val="000000"/>
        </w:rPr>
        <w:t xml:space="preserve">survey included </w:t>
      </w:r>
      <w:r w:rsidR="00974B1B">
        <w:rPr>
          <w:rFonts w:cs="Arial"/>
          <w:bCs/>
          <w:color w:val="000000"/>
        </w:rPr>
        <w:t>certain</w:t>
      </w:r>
      <w:r w:rsidRPr="004A635A">
        <w:rPr>
          <w:rFonts w:cs="Arial"/>
          <w:bCs/>
          <w:color w:val="000000"/>
        </w:rPr>
        <w:t xml:space="preserve"> questions</w:t>
      </w:r>
      <w:r w:rsidR="00974B1B">
        <w:rPr>
          <w:rFonts w:cs="Arial"/>
          <w:bCs/>
          <w:color w:val="000000"/>
        </w:rPr>
        <w:t xml:space="preserve"> for which responses were required of each </w:t>
      </w:r>
      <w:r w:rsidRPr="004A635A">
        <w:rPr>
          <w:rFonts w:cs="Arial"/>
          <w:bCs/>
          <w:color w:val="000000"/>
        </w:rPr>
        <w:t>participant.  The</w:t>
      </w:r>
      <w:r w:rsidR="00974B1B">
        <w:rPr>
          <w:rFonts w:cs="Arial"/>
          <w:bCs/>
          <w:color w:val="000000"/>
        </w:rPr>
        <w:t xml:space="preserve">se </w:t>
      </w:r>
      <w:r w:rsidRPr="004A635A">
        <w:rPr>
          <w:rFonts w:cs="Arial"/>
          <w:bCs/>
          <w:color w:val="000000"/>
        </w:rPr>
        <w:t xml:space="preserve">allowed </w:t>
      </w:r>
      <w:r>
        <w:rPr>
          <w:rFonts w:cs="Arial"/>
          <w:bCs/>
          <w:color w:val="000000"/>
        </w:rPr>
        <w:t>BLS</w:t>
      </w:r>
      <w:r w:rsidRPr="004A635A">
        <w:rPr>
          <w:rFonts w:cs="Arial"/>
          <w:bCs/>
          <w:color w:val="000000"/>
        </w:rPr>
        <w:t xml:space="preserve"> to </w:t>
      </w:r>
      <w:r w:rsidR="00974B1B">
        <w:rPr>
          <w:rFonts w:cs="Arial"/>
          <w:bCs/>
          <w:color w:val="000000"/>
        </w:rPr>
        <w:t>determine</w:t>
      </w:r>
      <w:r w:rsidRPr="004A635A">
        <w:rPr>
          <w:rFonts w:cs="Arial"/>
          <w:bCs/>
          <w:color w:val="000000"/>
        </w:rPr>
        <w:t xml:space="preserve"> </w:t>
      </w:r>
      <w:r>
        <w:rPr>
          <w:rFonts w:cs="Arial"/>
          <w:bCs/>
          <w:color w:val="000000"/>
        </w:rPr>
        <w:t>the standard</w:t>
      </w:r>
      <w:r w:rsidRPr="004A635A">
        <w:rPr>
          <w:rFonts w:cs="Arial"/>
          <w:bCs/>
          <w:color w:val="000000"/>
        </w:rPr>
        <w:t xml:space="preserve"> </w:t>
      </w:r>
      <w:r>
        <w:rPr>
          <w:rFonts w:cs="Arial"/>
          <w:bCs/>
          <w:color w:val="000000"/>
        </w:rPr>
        <w:t>classifications of each participant’s organiz</w:t>
      </w:r>
      <w:r>
        <w:rPr>
          <w:rFonts w:cs="Arial"/>
          <w:bCs/>
          <w:color w:val="000000"/>
        </w:rPr>
        <w:t>a</w:t>
      </w:r>
      <w:r>
        <w:rPr>
          <w:rFonts w:cs="Arial"/>
          <w:bCs/>
          <w:color w:val="000000"/>
        </w:rPr>
        <w:t>tion</w:t>
      </w:r>
      <w:r w:rsidRPr="004A635A">
        <w:rPr>
          <w:rFonts w:cs="Arial"/>
          <w:bCs/>
          <w:color w:val="000000"/>
        </w:rPr>
        <w:t xml:space="preserve">; the number of employees represented by each </w:t>
      </w:r>
      <w:r>
        <w:rPr>
          <w:rFonts w:cs="Arial"/>
          <w:bCs/>
          <w:color w:val="000000"/>
        </w:rPr>
        <w:t xml:space="preserve">participant’s </w:t>
      </w:r>
      <w:r w:rsidRPr="004A635A">
        <w:rPr>
          <w:rFonts w:cs="Arial"/>
          <w:bCs/>
          <w:color w:val="000000"/>
        </w:rPr>
        <w:t>organization; the geographic location of each participant; and the specific</w:t>
      </w:r>
      <w:r>
        <w:rPr>
          <w:rFonts w:cs="Arial"/>
          <w:bCs/>
          <w:color w:val="000000"/>
        </w:rPr>
        <w:t xml:space="preserve"> </w:t>
      </w:r>
      <w:r w:rsidRPr="004A635A">
        <w:rPr>
          <w:rFonts w:cs="Arial"/>
          <w:bCs/>
          <w:color w:val="000000"/>
        </w:rPr>
        <w:t xml:space="preserve">interest that </w:t>
      </w:r>
      <w:r>
        <w:rPr>
          <w:rFonts w:cs="Arial"/>
          <w:bCs/>
          <w:color w:val="000000"/>
        </w:rPr>
        <w:t>each participant</w:t>
      </w:r>
      <w:r w:rsidRPr="004A635A">
        <w:rPr>
          <w:rFonts w:cs="Arial"/>
          <w:bCs/>
          <w:color w:val="000000"/>
        </w:rPr>
        <w:t xml:space="preserve"> represented</w:t>
      </w:r>
      <w:r w:rsidR="00974B1B">
        <w:rPr>
          <w:rFonts w:cs="Arial"/>
          <w:bCs/>
          <w:color w:val="000000"/>
        </w:rPr>
        <w:t>.  This information made it possible for</w:t>
      </w:r>
      <w:r>
        <w:rPr>
          <w:rFonts w:cs="Arial"/>
          <w:bCs/>
          <w:color w:val="000000"/>
        </w:rPr>
        <w:t xml:space="preserve"> BLS to </w:t>
      </w:r>
      <w:r w:rsidR="00CC0733" w:rsidRPr="004A635A">
        <w:rPr>
          <w:rFonts w:cs="Arial"/>
          <w:bCs/>
          <w:color w:val="000000"/>
        </w:rPr>
        <w:t>categorize and analyze</w:t>
      </w:r>
      <w:r w:rsidR="00EA53D2" w:rsidRPr="004A635A">
        <w:rPr>
          <w:rFonts w:cs="Arial"/>
          <w:bCs/>
          <w:color w:val="000000"/>
        </w:rPr>
        <w:t xml:space="preserve"> responses from specific sources and subgroups</w:t>
      </w:r>
      <w:r w:rsidR="00273989">
        <w:rPr>
          <w:rFonts w:cs="Arial"/>
          <w:bCs/>
          <w:color w:val="000000"/>
        </w:rPr>
        <w:t>.  F</w:t>
      </w:r>
      <w:r w:rsidR="00CC0733" w:rsidRPr="004A635A">
        <w:rPr>
          <w:rFonts w:cs="Arial"/>
          <w:bCs/>
          <w:color w:val="000000"/>
        </w:rPr>
        <w:t>or example,</w:t>
      </w:r>
      <w:r w:rsidR="00273989">
        <w:rPr>
          <w:rFonts w:cs="Arial"/>
          <w:bCs/>
          <w:color w:val="000000"/>
        </w:rPr>
        <w:t xml:space="preserve"> </w:t>
      </w:r>
      <w:r w:rsidR="00273989">
        <w:rPr>
          <w:rFonts w:cs="Arial"/>
          <w:bCs/>
          <w:color w:val="000000"/>
        </w:rPr>
        <w:lastRenderedPageBreak/>
        <w:t>BLS could determine</w:t>
      </w:r>
      <w:r w:rsidR="00CC0733" w:rsidRPr="004A635A">
        <w:rPr>
          <w:rFonts w:cs="Arial"/>
          <w:bCs/>
          <w:color w:val="000000"/>
        </w:rPr>
        <w:t xml:space="preserve"> how</w:t>
      </w:r>
      <w:r w:rsidR="00273989">
        <w:rPr>
          <w:rFonts w:cs="Arial"/>
          <w:bCs/>
          <w:color w:val="000000"/>
        </w:rPr>
        <w:t xml:space="preserve"> certain</w:t>
      </w:r>
      <w:r w:rsidR="00CC0733" w:rsidRPr="004A635A">
        <w:rPr>
          <w:rFonts w:cs="Arial"/>
          <w:bCs/>
          <w:color w:val="000000"/>
        </w:rPr>
        <w:t xml:space="preserve"> </w:t>
      </w:r>
      <w:r w:rsidR="00974B1B">
        <w:rPr>
          <w:rFonts w:cs="Arial"/>
          <w:bCs/>
          <w:color w:val="000000"/>
        </w:rPr>
        <w:t>groups</w:t>
      </w:r>
      <w:r w:rsidR="00CC0733" w:rsidRPr="004A635A">
        <w:rPr>
          <w:rFonts w:cs="Arial"/>
          <w:bCs/>
          <w:color w:val="000000"/>
        </w:rPr>
        <w:t xml:space="preserve"> an</w:t>
      </w:r>
      <w:r w:rsidR="00EA53D2" w:rsidRPr="004A635A">
        <w:rPr>
          <w:rFonts w:cs="Arial"/>
          <w:bCs/>
          <w:color w:val="000000"/>
        </w:rPr>
        <w:t xml:space="preserve">swered and commented </w:t>
      </w:r>
      <w:r w:rsidR="00AD6822" w:rsidRPr="004A635A">
        <w:rPr>
          <w:rFonts w:cs="Arial"/>
          <w:bCs/>
          <w:color w:val="000000"/>
        </w:rPr>
        <w:t xml:space="preserve">on </w:t>
      </w:r>
      <w:r w:rsidR="00273989">
        <w:rPr>
          <w:rFonts w:cs="Arial"/>
          <w:bCs/>
          <w:color w:val="000000"/>
        </w:rPr>
        <w:t>a given</w:t>
      </w:r>
      <w:r w:rsidR="00AD6822" w:rsidRPr="004A635A">
        <w:rPr>
          <w:rFonts w:cs="Arial"/>
          <w:bCs/>
          <w:color w:val="000000"/>
        </w:rPr>
        <w:t xml:space="preserve"> question</w:t>
      </w:r>
      <w:r w:rsidR="00974B1B">
        <w:rPr>
          <w:rFonts w:cs="Arial"/>
          <w:bCs/>
          <w:color w:val="000000"/>
        </w:rPr>
        <w:t xml:space="preserve"> compared to ot</w:t>
      </w:r>
      <w:r w:rsidR="00974B1B">
        <w:rPr>
          <w:rFonts w:cs="Arial"/>
          <w:bCs/>
          <w:color w:val="000000"/>
        </w:rPr>
        <w:t>h</w:t>
      </w:r>
      <w:r w:rsidR="00974B1B">
        <w:rPr>
          <w:rFonts w:cs="Arial"/>
          <w:bCs/>
          <w:color w:val="000000"/>
        </w:rPr>
        <w:t xml:space="preserve">er groups.  The survey also posed some non-required </w:t>
      </w:r>
      <w:r w:rsidR="00974B1B" w:rsidRPr="004A635A">
        <w:rPr>
          <w:rFonts w:cs="Arial"/>
          <w:bCs/>
          <w:color w:val="000000"/>
        </w:rPr>
        <w:t xml:space="preserve">general questions </w:t>
      </w:r>
      <w:r w:rsidR="00974B1B">
        <w:rPr>
          <w:rFonts w:cs="Arial"/>
          <w:bCs/>
          <w:color w:val="000000"/>
        </w:rPr>
        <w:t>that provide a better understan</w:t>
      </w:r>
      <w:r w:rsidR="00974B1B">
        <w:rPr>
          <w:rFonts w:cs="Arial"/>
          <w:bCs/>
          <w:color w:val="000000"/>
        </w:rPr>
        <w:t>d</w:t>
      </w:r>
      <w:r w:rsidR="00974B1B">
        <w:rPr>
          <w:rFonts w:cs="Arial"/>
          <w:bCs/>
          <w:color w:val="000000"/>
        </w:rPr>
        <w:t>ing of</w:t>
      </w:r>
      <w:r w:rsidR="00974B1B" w:rsidRPr="004A635A">
        <w:rPr>
          <w:rFonts w:cs="Arial"/>
          <w:bCs/>
          <w:color w:val="000000"/>
        </w:rPr>
        <w:t xml:space="preserve"> the substance abuse and drug testing experiences of each organization and why they chose to co</w:t>
      </w:r>
      <w:r w:rsidR="00974B1B" w:rsidRPr="004A635A">
        <w:rPr>
          <w:rFonts w:cs="Arial"/>
          <w:bCs/>
          <w:color w:val="000000"/>
        </w:rPr>
        <w:t>n</w:t>
      </w:r>
      <w:r w:rsidR="00974B1B" w:rsidRPr="004A635A">
        <w:rPr>
          <w:rFonts w:cs="Arial"/>
          <w:bCs/>
          <w:color w:val="000000"/>
        </w:rPr>
        <w:t>duct, or not conduct, substance abuse testing.</w:t>
      </w:r>
      <w:r w:rsidR="00974B1B">
        <w:rPr>
          <w:rFonts w:cs="Arial"/>
          <w:bCs/>
          <w:color w:val="000000"/>
        </w:rPr>
        <w:t xml:space="preserve">  </w:t>
      </w:r>
    </w:p>
    <w:p w:rsidR="00974B1B" w:rsidRPr="004A635A" w:rsidRDefault="00974B1B" w:rsidP="00AD6822">
      <w:pPr>
        <w:widowControl w:val="0"/>
        <w:autoSpaceDE w:val="0"/>
        <w:autoSpaceDN w:val="0"/>
        <w:adjustRightInd w:val="0"/>
        <w:spacing w:after="0"/>
        <w:rPr>
          <w:rFonts w:cs="Arial"/>
          <w:bCs/>
          <w:color w:val="000000"/>
        </w:rPr>
      </w:pPr>
    </w:p>
    <w:p w:rsidR="006E70A3" w:rsidRPr="004A635A" w:rsidRDefault="00B13946" w:rsidP="00AD6822">
      <w:pPr>
        <w:widowControl w:val="0"/>
        <w:autoSpaceDE w:val="0"/>
        <w:autoSpaceDN w:val="0"/>
        <w:adjustRightInd w:val="0"/>
        <w:spacing w:after="0"/>
        <w:rPr>
          <w:rFonts w:cs="Arial"/>
          <w:bCs/>
          <w:color w:val="000000"/>
        </w:rPr>
      </w:pPr>
      <w:r w:rsidRPr="004A635A">
        <w:rPr>
          <w:rFonts w:cs="Arial"/>
          <w:bCs/>
          <w:color w:val="000000"/>
        </w:rPr>
        <w:t xml:space="preserve">The survey also </w:t>
      </w:r>
      <w:r w:rsidR="003F7ED3" w:rsidRPr="004A635A">
        <w:rPr>
          <w:rFonts w:cs="Arial"/>
          <w:bCs/>
          <w:color w:val="000000"/>
        </w:rPr>
        <w:t>asked</w:t>
      </w:r>
      <w:r w:rsidR="00273989">
        <w:rPr>
          <w:rFonts w:cs="Arial"/>
          <w:bCs/>
          <w:color w:val="000000"/>
        </w:rPr>
        <w:t xml:space="preserve"> specific</w:t>
      </w:r>
      <w:r w:rsidR="003F7ED3" w:rsidRPr="004A635A">
        <w:rPr>
          <w:rFonts w:cs="Arial"/>
          <w:bCs/>
          <w:color w:val="000000"/>
        </w:rPr>
        <w:t xml:space="preserve"> </w:t>
      </w:r>
      <w:r w:rsidR="00CC0733" w:rsidRPr="004A635A">
        <w:rPr>
          <w:rFonts w:cs="Arial"/>
          <w:bCs/>
          <w:color w:val="000000"/>
        </w:rPr>
        <w:t>questions</w:t>
      </w:r>
      <w:r w:rsidR="00B74879" w:rsidRPr="004A635A">
        <w:rPr>
          <w:rFonts w:cs="Arial"/>
          <w:bCs/>
          <w:color w:val="000000"/>
        </w:rPr>
        <w:t xml:space="preserve"> and </w:t>
      </w:r>
      <w:r w:rsidR="00273989">
        <w:rPr>
          <w:rFonts w:cs="Arial"/>
          <w:bCs/>
          <w:color w:val="000000"/>
        </w:rPr>
        <w:t>invited</w:t>
      </w:r>
      <w:r w:rsidR="00B74879" w:rsidRPr="004A635A">
        <w:rPr>
          <w:rFonts w:cs="Arial"/>
          <w:bCs/>
          <w:color w:val="000000"/>
        </w:rPr>
        <w:t xml:space="preserve"> general comments</w:t>
      </w:r>
      <w:r w:rsidR="00CC0733" w:rsidRPr="004A635A">
        <w:rPr>
          <w:rFonts w:cs="Arial"/>
          <w:bCs/>
          <w:color w:val="000000"/>
        </w:rPr>
        <w:t xml:space="preserve"> </w:t>
      </w:r>
      <w:r w:rsidR="00273989">
        <w:rPr>
          <w:rFonts w:cs="Arial"/>
          <w:bCs/>
          <w:color w:val="000000"/>
        </w:rPr>
        <w:t>on a number of</w:t>
      </w:r>
      <w:r w:rsidR="00CC0733" w:rsidRPr="004A635A">
        <w:rPr>
          <w:rFonts w:cs="Arial"/>
          <w:bCs/>
          <w:color w:val="000000"/>
        </w:rPr>
        <w:t xml:space="preserve"> drug testing policy issues</w:t>
      </w:r>
      <w:r w:rsidR="00273989">
        <w:rPr>
          <w:rFonts w:cs="Arial"/>
          <w:bCs/>
          <w:color w:val="000000"/>
        </w:rPr>
        <w:t xml:space="preserve"> that have been</w:t>
      </w:r>
      <w:r w:rsidR="00CC0733" w:rsidRPr="004A635A">
        <w:rPr>
          <w:rFonts w:cs="Arial"/>
          <w:bCs/>
          <w:color w:val="000000"/>
        </w:rPr>
        <w:t xml:space="preserve"> identified in previous</w:t>
      </w:r>
      <w:r w:rsidR="00273989">
        <w:rPr>
          <w:rFonts w:cs="Arial"/>
          <w:bCs/>
          <w:color w:val="000000"/>
        </w:rPr>
        <w:t xml:space="preserve"> discussions and</w:t>
      </w:r>
      <w:r w:rsidR="00CC0733" w:rsidRPr="004A635A">
        <w:rPr>
          <w:rFonts w:cs="Arial"/>
          <w:bCs/>
          <w:color w:val="000000"/>
        </w:rPr>
        <w:t xml:space="preserve"> legislative sessions.  These included</w:t>
      </w:r>
      <w:r w:rsidR="006E70A3" w:rsidRPr="004A635A">
        <w:rPr>
          <w:rFonts w:cs="Arial"/>
          <w:bCs/>
          <w:color w:val="000000"/>
        </w:rPr>
        <w:t>:</w:t>
      </w:r>
    </w:p>
    <w:p w:rsidR="006E70A3" w:rsidRPr="004A635A" w:rsidRDefault="006E70A3" w:rsidP="00AD6822">
      <w:pPr>
        <w:widowControl w:val="0"/>
        <w:autoSpaceDE w:val="0"/>
        <w:autoSpaceDN w:val="0"/>
        <w:adjustRightInd w:val="0"/>
        <w:spacing w:after="0"/>
        <w:rPr>
          <w:rFonts w:cs="Arial"/>
          <w:bCs/>
          <w:color w:val="000000"/>
        </w:rPr>
      </w:pP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Whether or not to adopt</w:t>
      </w:r>
      <w:r w:rsidR="00CC0733" w:rsidRPr="004A635A">
        <w:rPr>
          <w:rFonts w:ascii="Minion Pro" w:hAnsi="Minion Pro" w:cs="Times New Roman"/>
          <w:bCs/>
          <w:color w:val="000000"/>
          <w:sz w:val="24"/>
          <w:szCs w:val="24"/>
        </w:rPr>
        <w:t xml:space="preserve"> a uniform model policy in lieu of individualized substance abuse testing policies (programs);</w:t>
      </w: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W</w:t>
      </w:r>
      <w:r w:rsidR="002C1B06">
        <w:rPr>
          <w:rFonts w:ascii="Minion Pro" w:hAnsi="Minion Pro" w:cs="Times New Roman"/>
          <w:bCs/>
          <w:color w:val="000000"/>
          <w:sz w:val="24"/>
          <w:szCs w:val="24"/>
        </w:rPr>
        <w:t>hether or not employee a</w:t>
      </w:r>
      <w:r w:rsidR="00CC0733" w:rsidRPr="004A635A">
        <w:rPr>
          <w:rFonts w:ascii="Minion Pro" w:hAnsi="Minion Pro" w:cs="Times New Roman"/>
          <w:bCs/>
          <w:color w:val="000000"/>
          <w:sz w:val="24"/>
          <w:szCs w:val="24"/>
        </w:rPr>
        <w:t>ssistance programs should continue to be required for the larger e</w:t>
      </w:r>
      <w:r w:rsidR="00CC0733" w:rsidRPr="004A635A">
        <w:rPr>
          <w:rFonts w:ascii="Minion Pro" w:hAnsi="Minion Pro" w:cs="Times New Roman"/>
          <w:bCs/>
          <w:color w:val="000000"/>
          <w:sz w:val="24"/>
          <w:szCs w:val="24"/>
        </w:rPr>
        <w:t>m</w:t>
      </w:r>
      <w:r w:rsidR="00CC0733" w:rsidRPr="004A635A">
        <w:rPr>
          <w:rFonts w:ascii="Minion Pro" w:hAnsi="Minion Pro" w:cs="Times New Roman"/>
          <w:bCs/>
          <w:color w:val="000000"/>
          <w:sz w:val="24"/>
          <w:szCs w:val="24"/>
        </w:rPr>
        <w:t>ployers;</w:t>
      </w: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W</w:t>
      </w:r>
      <w:r w:rsidR="00CC0733" w:rsidRPr="004A635A">
        <w:rPr>
          <w:rFonts w:ascii="Minion Pro" w:hAnsi="Minion Pro" w:cs="Times New Roman"/>
          <w:bCs/>
          <w:color w:val="000000"/>
          <w:sz w:val="24"/>
          <w:szCs w:val="24"/>
        </w:rPr>
        <w:t>hether</w:t>
      </w:r>
      <w:r w:rsidRPr="004A635A">
        <w:rPr>
          <w:rFonts w:ascii="Minion Pro" w:hAnsi="Minion Pro" w:cs="Times New Roman"/>
          <w:bCs/>
          <w:color w:val="000000"/>
          <w:sz w:val="24"/>
          <w:szCs w:val="24"/>
        </w:rPr>
        <w:t xml:space="preserve"> or not</w:t>
      </w:r>
      <w:r w:rsidR="00CC0733" w:rsidRPr="004A635A">
        <w:rPr>
          <w:rFonts w:ascii="Minion Pro" w:hAnsi="Minion Pro" w:cs="Times New Roman"/>
          <w:bCs/>
          <w:color w:val="000000"/>
          <w:sz w:val="24"/>
          <w:szCs w:val="24"/>
        </w:rPr>
        <w:t xml:space="preserve"> large employers should continue to share in any u</w:t>
      </w:r>
      <w:r w:rsidRPr="004A635A">
        <w:rPr>
          <w:rFonts w:ascii="Minion Pro" w:hAnsi="Minion Pro" w:cs="Times New Roman"/>
          <w:bCs/>
          <w:color w:val="000000"/>
          <w:sz w:val="24"/>
          <w:szCs w:val="24"/>
        </w:rPr>
        <w:t>ncovered rehabilitation costs;</w:t>
      </w: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H</w:t>
      </w:r>
      <w:r w:rsidR="00CC0733" w:rsidRPr="004A635A">
        <w:rPr>
          <w:rFonts w:ascii="Minion Pro" w:hAnsi="Minion Pro" w:cs="Times New Roman"/>
          <w:bCs/>
          <w:color w:val="000000"/>
          <w:sz w:val="24"/>
          <w:szCs w:val="24"/>
        </w:rPr>
        <w:t>ow to clarify the provision of the statute relating to companies that also tes</w:t>
      </w:r>
      <w:r w:rsidRPr="004A635A">
        <w:rPr>
          <w:rFonts w:ascii="Minion Pro" w:hAnsi="Minion Pro" w:cs="Times New Roman"/>
          <w:bCs/>
          <w:color w:val="000000"/>
          <w:sz w:val="24"/>
          <w:szCs w:val="24"/>
        </w:rPr>
        <w:t>t employees under federal requirements;</w:t>
      </w: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S</w:t>
      </w:r>
      <w:r w:rsidR="00CC0733" w:rsidRPr="004A635A">
        <w:rPr>
          <w:rFonts w:ascii="Minion Pro" w:hAnsi="Minion Pro" w:cs="Times New Roman"/>
          <w:bCs/>
          <w:color w:val="000000"/>
          <w:sz w:val="24"/>
          <w:szCs w:val="24"/>
        </w:rPr>
        <w:t>hould smaller companies be able to do empl</w:t>
      </w:r>
      <w:r w:rsidRPr="004A635A">
        <w:rPr>
          <w:rFonts w:ascii="Minion Pro" w:hAnsi="Minion Pro" w:cs="Times New Roman"/>
          <w:bCs/>
          <w:color w:val="000000"/>
          <w:sz w:val="24"/>
          <w:szCs w:val="24"/>
        </w:rPr>
        <w:t>oyee-wide random drug testing?</w:t>
      </w: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S</w:t>
      </w:r>
      <w:r w:rsidR="00CC0733" w:rsidRPr="004A635A">
        <w:rPr>
          <w:rFonts w:ascii="Minion Pro" w:hAnsi="Minion Pro" w:cs="Times New Roman"/>
          <w:bCs/>
          <w:color w:val="000000"/>
          <w:sz w:val="24"/>
          <w:szCs w:val="24"/>
        </w:rPr>
        <w:t>hould the law continue to exempt first time accidents as probable cause for drug testing</w:t>
      </w:r>
      <w:r w:rsidRPr="004A635A">
        <w:rPr>
          <w:rFonts w:ascii="Minion Pro" w:hAnsi="Minion Pro" w:cs="Times New Roman"/>
          <w:bCs/>
          <w:color w:val="000000"/>
          <w:sz w:val="24"/>
          <w:szCs w:val="24"/>
        </w:rPr>
        <w:t>?</w:t>
      </w:r>
    </w:p>
    <w:p w:rsidR="006E70A3" w:rsidRPr="004A635A" w:rsidRDefault="006E70A3" w:rsidP="006E70A3">
      <w:pPr>
        <w:pStyle w:val="ListParagraph"/>
        <w:widowControl w:val="0"/>
        <w:numPr>
          <w:ilvl w:val="0"/>
          <w:numId w:val="13"/>
        </w:numPr>
        <w:autoSpaceDE w:val="0"/>
        <w:autoSpaceDN w:val="0"/>
        <w:adjustRightInd w:val="0"/>
        <w:spacing w:after="0"/>
        <w:rPr>
          <w:rFonts w:ascii="Minion Pro" w:hAnsi="Minion Pro" w:cs="Times New Roman"/>
          <w:bCs/>
          <w:color w:val="000000"/>
          <w:sz w:val="24"/>
          <w:szCs w:val="24"/>
        </w:rPr>
      </w:pPr>
      <w:r w:rsidRPr="004A635A">
        <w:rPr>
          <w:rFonts w:ascii="Minion Pro" w:hAnsi="Minion Pro" w:cs="Times New Roman"/>
          <w:bCs/>
          <w:color w:val="000000"/>
          <w:sz w:val="24"/>
          <w:szCs w:val="24"/>
        </w:rPr>
        <w:t>S</w:t>
      </w:r>
      <w:r w:rsidR="00CC0733" w:rsidRPr="004A635A">
        <w:rPr>
          <w:rFonts w:ascii="Minion Pro" w:hAnsi="Minion Pro" w:cs="Times New Roman"/>
          <w:bCs/>
          <w:color w:val="000000"/>
          <w:sz w:val="24"/>
          <w:szCs w:val="24"/>
        </w:rPr>
        <w:t>hould the law be change</w:t>
      </w:r>
      <w:r w:rsidR="00B74879" w:rsidRPr="004A635A">
        <w:rPr>
          <w:rFonts w:ascii="Minion Pro" w:hAnsi="Minion Pro" w:cs="Times New Roman"/>
          <w:bCs/>
          <w:color w:val="000000"/>
          <w:sz w:val="24"/>
          <w:szCs w:val="24"/>
        </w:rPr>
        <w:t>d</w:t>
      </w:r>
      <w:r w:rsidR="00CC0733" w:rsidRPr="004A635A">
        <w:rPr>
          <w:rFonts w:ascii="Minion Pro" w:hAnsi="Minion Pro" w:cs="Times New Roman"/>
          <w:bCs/>
          <w:color w:val="000000"/>
          <w:sz w:val="24"/>
          <w:szCs w:val="24"/>
        </w:rPr>
        <w:t xml:space="preserve"> to accommodate situations where companies who do not </w:t>
      </w:r>
      <w:r w:rsidRPr="004A635A">
        <w:rPr>
          <w:rFonts w:ascii="Minion Pro" w:hAnsi="Minion Pro" w:cs="Times New Roman"/>
          <w:bCs/>
          <w:color w:val="000000"/>
          <w:sz w:val="24"/>
          <w:szCs w:val="24"/>
        </w:rPr>
        <w:t>conduct</w:t>
      </w:r>
      <w:r w:rsidR="00CC0733" w:rsidRPr="004A635A">
        <w:rPr>
          <w:rFonts w:ascii="Minion Pro" w:hAnsi="Minion Pro" w:cs="Times New Roman"/>
          <w:bCs/>
          <w:color w:val="000000"/>
          <w:sz w:val="24"/>
          <w:szCs w:val="24"/>
        </w:rPr>
        <w:t xml:space="preserve"> e</w:t>
      </w:r>
      <w:r w:rsidR="00CC0733" w:rsidRPr="004A635A">
        <w:rPr>
          <w:rFonts w:ascii="Minion Pro" w:hAnsi="Minion Pro" w:cs="Times New Roman"/>
          <w:bCs/>
          <w:color w:val="000000"/>
          <w:sz w:val="24"/>
          <w:szCs w:val="24"/>
        </w:rPr>
        <w:t>m</w:t>
      </w:r>
      <w:r w:rsidR="00CC0733" w:rsidRPr="004A635A">
        <w:rPr>
          <w:rFonts w:ascii="Minion Pro" w:hAnsi="Minion Pro" w:cs="Times New Roman"/>
          <w:bCs/>
          <w:color w:val="000000"/>
          <w:sz w:val="24"/>
          <w:szCs w:val="24"/>
        </w:rPr>
        <w:t>ployer drug testing are suddenly required to</w:t>
      </w:r>
      <w:r w:rsidRPr="004A635A">
        <w:rPr>
          <w:rFonts w:ascii="Minion Pro" w:hAnsi="Minion Pro" w:cs="Times New Roman"/>
          <w:bCs/>
          <w:color w:val="000000"/>
          <w:sz w:val="24"/>
          <w:szCs w:val="24"/>
        </w:rPr>
        <w:t xml:space="preserve"> do so</w:t>
      </w:r>
      <w:r w:rsidR="00CC0733" w:rsidRPr="004A635A">
        <w:rPr>
          <w:rFonts w:ascii="Minion Pro" w:hAnsi="Minion Pro" w:cs="Times New Roman"/>
          <w:bCs/>
          <w:color w:val="000000"/>
          <w:sz w:val="24"/>
          <w:szCs w:val="24"/>
        </w:rPr>
        <w:t xml:space="preserve"> in </w:t>
      </w:r>
      <w:r w:rsidRPr="004A635A">
        <w:rPr>
          <w:rFonts w:ascii="Minion Pro" w:hAnsi="Minion Pro" w:cs="Times New Roman"/>
          <w:bCs/>
          <w:color w:val="000000"/>
          <w:sz w:val="24"/>
          <w:szCs w:val="24"/>
        </w:rPr>
        <w:t>order to</w:t>
      </w:r>
      <w:r w:rsidR="00CC0733" w:rsidRPr="004A635A">
        <w:rPr>
          <w:rFonts w:ascii="Minion Pro" w:hAnsi="Minion Pro" w:cs="Times New Roman"/>
          <w:bCs/>
          <w:color w:val="000000"/>
          <w:sz w:val="24"/>
          <w:szCs w:val="24"/>
        </w:rPr>
        <w:t xml:space="preserve"> </w:t>
      </w:r>
      <w:r w:rsidRPr="004A635A">
        <w:rPr>
          <w:rFonts w:ascii="Minion Pro" w:hAnsi="Minion Pro" w:cs="Times New Roman"/>
          <w:bCs/>
          <w:color w:val="000000"/>
          <w:sz w:val="24"/>
          <w:szCs w:val="24"/>
        </w:rPr>
        <w:t>receive project</w:t>
      </w:r>
      <w:r w:rsidR="00CC0733" w:rsidRPr="004A635A">
        <w:rPr>
          <w:rFonts w:ascii="Minion Pro" w:hAnsi="Minion Pro" w:cs="Times New Roman"/>
          <w:bCs/>
          <w:color w:val="000000"/>
          <w:sz w:val="24"/>
          <w:szCs w:val="24"/>
        </w:rPr>
        <w:t xml:space="preserve"> contracts</w:t>
      </w:r>
      <w:r w:rsidRPr="004A635A">
        <w:rPr>
          <w:rFonts w:ascii="Minion Pro" w:hAnsi="Minion Pro" w:cs="Times New Roman"/>
          <w:bCs/>
          <w:color w:val="000000"/>
          <w:sz w:val="24"/>
          <w:szCs w:val="24"/>
        </w:rPr>
        <w:t>?</w:t>
      </w:r>
      <w:r w:rsidR="00CC0733" w:rsidRPr="004A635A">
        <w:rPr>
          <w:rFonts w:ascii="Minion Pro" w:hAnsi="Minion Pro" w:cs="Times New Roman"/>
          <w:bCs/>
          <w:color w:val="000000"/>
          <w:sz w:val="24"/>
          <w:szCs w:val="24"/>
        </w:rPr>
        <w:t xml:space="preserve"> </w:t>
      </w:r>
    </w:p>
    <w:p w:rsidR="00CC0733" w:rsidRPr="004A635A" w:rsidRDefault="006E70A3" w:rsidP="006E70A3">
      <w:pPr>
        <w:pStyle w:val="ListParagraph"/>
        <w:widowControl w:val="0"/>
        <w:numPr>
          <w:ilvl w:val="0"/>
          <w:numId w:val="13"/>
        </w:numPr>
        <w:autoSpaceDE w:val="0"/>
        <w:autoSpaceDN w:val="0"/>
        <w:adjustRightInd w:val="0"/>
        <w:spacing w:after="0"/>
        <w:rPr>
          <w:rFonts w:ascii="Minion Pro" w:hAnsi="Minion Pro" w:cs="Arial"/>
          <w:bCs/>
          <w:color w:val="000000"/>
          <w:sz w:val="24"/>
          <w:szCs w:val="24"/>
        </w:rPr>
      </w:pPr>
      <w:r w:rsidRPr="004A635A">
        <w:rPr>
          <w:rFonts w:ascii="Minion Pro" w:hAnsi="Minion Pro" w:cs="Times New Roman"/>
          <w:bCs/>
          <w:color w:val="000000"/>
          <w:sz w:val="24"/>
          <w:szCs w:val="24"/>
        </w:rPr>
        <w:t>W</w:t>
      </w:r>
      <w:r w:rsidR="00CC0733" w:rsidRPr="004A635A">
        <w:rPr>
          <w:rFonts w:ascii="Minion Pro" w:hAnsi="Minion Pro" w:cs="Times New Roman"/>
          <w:bCs/>
          <w:color w:val="000000"/>
          <w:sz w:val="24"/>
          <w:szCs w:val="24"/>
        </w:rPr>
        <w:t>hether the employer drug testing law should further address the use of medical marijuana in the workplace</w:t>
      </w:r>
      <w:r w:rsidR="00CC0733" w:rsidRPr="004A635A">
        <w:rPr>
          <w:rFonts w:ascii="Minion Pro" w:hAnsi="Minion Pro" w:cs="Arial"/>
          <w:bCs/>
          <w:color w:val="000000"/>
          <w:sz w:val="24"/>
          <w:szCs w:val="24"/>
        </w:rPr>
        <w:t>.</w:t>
      </w:r>
    </w:p>
    <w:p w:rsidR="00AD6822" w:rsidRPr="004A635A" w:rsidRDefault="00AD6822" w:rsidP="00AD6822">
      <w:pPr>
        <w:widowControl w:val="0"/>
        <w:autoSpaceDE w:val="0"/>
        <w:autoSpaceDN w:val="0"/>
        <w:adjustRightInd w:val="0"/>
        <w:spacing w:after="0"/>
        <w:rPr>
          <w:rFonts w:cs="Arial"/>
          <w:bCs/>
          <w:color w:val="000000"/>
        </w:rPr>
      </w:pPr>
    </w:p>
    <w:p w:rsidR="00CC0733" w:rsidRPr="004A635A" w:rsidRDefault="003F7ED3" w:rsidP="00AD6822">
      <w:pPr>
        <w:widowControl w:val="0"/>
        <w:autoSpaceDE w:val="0"/>
        <w:autoSpaceDN w:val="0"/>
        <w:adjustRightInd w:val="0"/>
        <w:spacing w:after="0"/>
        <w:rPr>
          <w:rFonts w:cs="Arial"/>
          <w:bCs/>
          <w:color w:val="000000"/>
        </w:rPr>
      </w:pPr>
      <w:r w:rsidRPr="004A635A">
        <w:rPr>
          <w:rFonts w:cs="Arial"/>
          <w:bCs/>
          <w:color w:val="000000"/>
        </w:rPr>
        <w:t>Finally, the survey</w:t>
      </w:r>
      <w:r w:rsidR="00CC0733" w:rsidRPr="004A635A">
        <w:rPr>
          <w:rFonts w:cs="Arial"/>
          <w:bCs/>
          <w:color w:val="000000"/>
        </w:rPr>
        <w:t xml:space="preserve"> asked </w:t>
      </w:r>
      <w:r w:rsidR="00B74879" w:rsidRPr="004A635A">
        <w:rPr>
          <w:rFonts w:cs="Arial"/>
          <w:bCs/>
          <w:color w:val="000000"/>
        </w:rPr>
        <w:t>participant</w:t>
      </w:r>
      <w:r w:rsidR="00273989">
        <w:rPr>
          <w:rFonts w:cs="Arial"/>
          <w:bCs/>
          <w:color w:val="000000"/>
        </w:rPr>
        <w:t xml:space="preserve">s to comment </w:t>
      </w:r>
      <w:r w:rsidR="00CC0733" w:rsidRPr="004A635A">
        <w:rPr>
          <w:rFonts w:cs="Arial"/>
          <w:bCs/>
          <w:color w:val="000000"/>
        </w:rPr>
        <w:t>on the content of the survey and whether or not it had covered the important issues</w:t>
      </w:r>
      <w:r w:rsidRPr="004A635A">
        <w:rPr>
          <w:rFonts w:cs="Arial"/>
          <w:bCs/>
          <w:color w:val="000000"/>
        </w:rPr>
        <w:t xml:space="preserve"> relating to employer drug testing</w:t>
      </w:r>
      <w:r w:rsidR="00273989">
        <w:rPr>
          <w:rFonts w:cs="Arial"/>
          <w:bCs/>
          <w:color w:val="000000"/>
        </w:rPr>
        <w:t>.  It also asked them to rank those issues by priority,</w:t>
      </w:r>
      <w:r w:rsidR="00CC0733" w:rsidRPr="004A635A">
        <w:rPr>
          <w:rFonts w:cs="Arial"/>
          <w:bCs/>
          <w:color w:val="000000"/>
        </w:rPr>
        <w:t xml:space="preserve"> </w:t>
      </w:r>
      <w:r w:rsidRPr="004A635A">
        <w:rPr>
          <w:rFonts w:cs="Arial"/>
          <w:bCs/>
          <w:color w:val="000000"/>
        </w:rPr>
        <w:t>in terms of</w:t>
      </w:r>
      <w:r w:rsidR="00273989">
        <w:rPr>
          <w:rFonts w:cs="Arial"/>
          <w:bCs/>
          <w:color w:val="000000"/>
        </w:rPr>
        <w:t xml:space="preserve"> the need to address and resolve them.</w:t>
      </w:r>
    </w:p>
    <w:p w:rsidR="00CC0733" w:rsidRPr="004A635A" w:rsidRDefault="00CC0733" w:rsidP="00CC0733">
      <w:pPr>
        <w:rPr>
          <w:rFonts w:cs="Arial"/>
          <w:bCs/>
          <w:color w:val="000000"/>
        </w:rPr>
      </w:pPr>
      <w:r w:rsidRPr="004A635A">
        <w:rPr>
          <w:rFonts w:cs="Arial"/>
          <w:bCs/>
          <w:color w:val="000000"/>
        </w:rPr>
        <w:br w:type="page"/>
      </w:r>
    </w:p>
    <w:p w:rsidR="00CC0733" w:rsidRPr="00BE0519" w:rsidRDefault="00CC0733" w:rsidP="00E509C5">
      <w:pPr>
        <w:pStyle w:val="Heading1"/>
      </w:pPr>
      <w:r w:rsidRPr="00BE0519">
        <w:lastRenderedPageBreak/>
        <w:t>CHARACTERISTICS OF THE PARTICIPANTS</w:t>
      </w:r>
    </w:p>
    <w:p w:rsidR="00CC0733" w:rsidRDefault="00CC0733" w:rsidP="00CC0733">
      <w:pPr>
        <w:rPr>
          <w:rFonts w:cs="Arial"/>
          <w:bCs/>
          <w:color w:val="000000"/>
        </w:rPr>
      </w:pPr>
    </w:p>
    <w:p w:rsidR="00CC0733" w:rsidRPr="00BE0519" w:rsidRDefault="00D13791" w:rsidP="00E509C5">
      <w:pPr>
        <w:pStyle w:val="Heading2"/>
      </w:pPr>
      <w:r>
        <w:t>Organization</w:t>
      </w:r>
      <w:r w:rsidR="00CC0733" w:rsidRPr="00BE0519">
        <w:t>s and Representation</w:t>
      </w:r>
    </w:p>
    <w:p w:rsidR="00AB45C4" w:rsidRDefault="00AB45C4" w:rsidP="00CC0733">
      <w:pPr>
        <w:widowControl w:val="0"/>
        <w:autoSpaceDE w:val="0"/>
        <w:autoSpaceDN w:val="0"/>
        <w:adjustRightInd w:val="0"/>
        <w:spacing w:before="200" w:after="0"/>
        <w:rPr>
          <w:rFonts w:cs="Arial"/>
          <w:bCs/>
          <w:color w:val="000000"/>
        </w:rPr>
      </w:pPr>
    </w:p>
    <w:p w:rsidR="00CC0733" w:rsidRDefault="00CC0733" w:rsidP="00CC0733">
      <w:pPr>
        <w:widowControl w:val="0"/>
        <w:autoSpaceDE w:val="0"/>
        <w:autoSpaceDN w:val="0"/>
        <w:adjustRightInd w:val="0"/>
        <w:spacing w:before="200" w:after="0"/>
        <w:rPr>
          <w:rFonts w:cs="Arial"/>
          <w:bCs/>
          <w:color w:val="000000"/>
        </w:rPr>
      </w:pPr>
      <w:r>
        <w:rPr>
          <w:rFonts w:cs="Arial"/>
          <w:bCs/>
          <w:color w:val="000000"/>
        </w:rPr>
        <w:t>Of the 618 invitees,</w:t>
      </w:r>
      <w:r w:rsidR="00974B1B">
        <w:rPr>
          <w:rFonts w:cs="Arial"/>
          <w:bCs/>
          <w:color w:val="000000"/>
        </w:rPr>
        <w:t xml:space="preserve"> Survey Monkey received</w:t>
      </w:r>
      <w:r>
        <w:rPr>
          <w:rFonts w:cs="Arial"/>
          <w:bCs/>
          <w:color w:val="000000"/>
        </w:rPr>
        <w:t xml:space="preserve"> responses from </w:t>
      </w:r>
      <w:proofErr w:type="gramStart"/>
      <w:r>
        <w:rPr>
          <w:rFonts w:cs="Arial"/>
          <w:bCs/>
          <w:color w:val="000000"/>
        </w:rPr>
        <w:t xml:space="preserve">247 </w:t>
      </w:r>
      <w:r w:rsidR="00974B1B">
        <w:rPr>
          <w:rFonts w:cs="Arial"/>
          <w:bCs/>
          <w:color w:val="000000"/>
        </w:rPr>
        <w:t xml:space="preserve"> participants</w:t>
      </w:r>
      <w:proofErr w:type="gramEnd"/>
      <w:r w:rsidR="00974B1B">
        <w:rPr>
          <w:rFonts w:cs="Arial"/>
          <w:bCs/>
          <w:color w:val="000000"/>
        </w:rPr>
        <w:t xml:space="preserve"> -</w:t>
      </w:r>
      <w:r>
        <w:rPr>
          <w:rFonts w:cs="Arial"/>
          <w:bCs/>
          <w:color w:val="000000"/>
        </w:rPr>
        <w:t xml:space="preserve"> about </w:t>
      </w:r>
      <w:r w:rsidR="00974B1B">
        <w:rPr>
          <w:rFonts w:cs="Arial"/>
          <w:bCs/>
          <w:color w:val="000000"/>
        </w:rPr>
        <w:t xml:space="preserve">a </w:t>
      </w:r>
      <w:r>
        <w:rPr>
          <w:rFonts w:cs="Arial"/>
          <w:bCs/>
          <w:color w:val="000000"/>
        </w:rPr>
        <w:t>40 percent return.  As shown by</w:t>
      </w:r>
      <w:r w:rsidRPr="00DE6CD1">
        <w:rPr>
          <w:rFonts w:cs="Arial"/>
          <w:bCs/>
        </w:rPr>
        <w:t xml:space="preserve"> </w:t>
      </w:r>
      <w:r w:rsidR="003F7ED3" w:rsidRPr="00DE6CD1">
        <w:rPr>
          <w:rFonts w:cs="Arial"/>
          <w:bCs/>
        </w:rPr>
        <w:t xml:space="preserve">the </w:t>
      </w:r>
      <w:r w:rsidR="003F7ED3" w:rsidRPr="003F7ED3">
        <w:rPr>
          <w:rFonts w:cs="Arial"/>
          <w:bCs/>
        </w:rPr>
        <w:t>chart below</w:t>
      </w:r>
      <w:r w:rsidRPr="003F7ED3">
        <w:rPr>
          <w:rFonts w:cs="Arial"/>
          <w:bCs/>
        </w:rPr>
        <w:t xml:space="preserve">, there </w:t>
      </w:r>
      <w:r>
        <w:rPr>
          <w:rFonts w:cs="Arial"/>
          <w:bCs/>
          <w:color w:val="000000"/>
        </w:rPr>
        <w:t>was a wide variety of representation including trade, manufacturing and transportation sectors, government, health care, organized labor and nonprofit organizations.</w:t>
      </w:r>
    </w:p>
    <w:p w:rsidR="00C870CD" w:rsidRDefault="00C870CD" w:rsidP="00CC0733">
      <w:pPr>
        <w:widowControl w:val="0"/>
        <w:autoSpaceDE w:val="0"/>
        <w:autoSpaceDN w:val="0"/>
        <w:adjustRightInd w:val="0"/>
        <w:spacing w:before="200" w:after="0"/>
        <w:jc w:val="center"/>
        <w:rPr>
          <w:rFonts w:cs="Arial"/>
          <w:b/>
          <w:bCs/>
          <w:color w:val="000000"/>
          <w:sz w:val="28"/>
          <w:szCs w:val="28"/>
        </w:rPr>
      </w:pPr>
    </w:p>
    <w:p w:rsidR="00C870CD" w:rsidRDefault="00C870CD" w:rsidP="00CC0733">
      <w:pPr>
        <w:widowControl w:val="0"/>
        <w:autoSpaceDE w:val="0"/>
        <w:autoSpaceDN w:val="0"/>
        <w:adjustRightInd w:val="0"/>
        <w:spacing w:before="200" w:after="0"/>
        <w:jc w:val="center"/>
        <w:rPr>
          <w:rFonts w:cs="Arial"/>
          <w:b/>
          <w:bCs/>
          <w:color w:val="000000"/>
          <w:sz w:val="28"/>
          <w:szCs w:val="28"/>
        </w:rPr>
      </w:pPr>
    </w:p>
    <w:p w:rsidR="00CC0733" w:rsidRPr="00AD4318" w:rsidRDefault="00AD4318" w:rsidP="00D90050">
      <w:pPr>
        <w:widowControl w:val="0"/>
        <w:autoSpaceDE w:val="0"/>
        <w:autoSpaceDN w:val="0"/>
        <w:adjustRightInd w:val="0"/>
        <w:spacing w:before="200" w:after="0"/>
        <w:rPr>
          <w:rFonts w:cs="Arial"/>
          <w:b/>
          <w:bCs/>
          <w:color w:val="000000"/>
          <w:sz w:val="28"/>
          <w:szCs w:val="28"/>
          <w:u w:val="single"/>
        </w:rPr>
      </w:pPr>
      <w:r w:rsidRPr="00AD4318">
        <w:rPr>
          <w:rFonts w:cs="Arial"/>
          <w:b/>
          <w:bCs/>
          <w:color w:val="000000"/>
          <w:sz w:val="28"/>
          <w:szCs w:val="28"/>
          <w:u w:val="single"/>
        </w:rPr>
        <w:t>Organizations</w:t>
      </w:r>
    </w:p>
    <w:p w:rsidR="00CC0733" w:rsidRPr="00CD5B84" w:rsidRDefault="00CC0733" w:rsidP="00CC0733">
      <w:pPr>
        <w:widowControl w:val="0"/>
        <w:autoSpaceDE w:val="0"/>
        <w:autoSpaceDN w:val="0"/>
        <w:adjustRightInd w:val="0"/>
        <w:spacing w:before="200" w:after="0"/>
      </w:pPr>
      <w:r>
        <w:rPr>
          <w:noProof/>
        </w:rPr>
        <w:drawing>
          <wp:inline distT="0" distB="0" distL="0" distR="0" wp14:anchorId="226DBDE8" wp14:editId="671B3F7A">
            <wp:extent cx="5943600" cy="3523615"/>
            <wp:effectExtent l="0" t="0" r="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0733" w:rsidRPr="00273989" w:rsidRDefault="00974B1B" w:rsidP="00CC0733">
      <w:r>
        <w:t>Each</w:t>
      </w:r>
      <w:r w:rsidR="00CC0733">
        <w:t xml:space="preserve"> survey </w:t>
      </w:r>
      <w:r w:rsidR="00B74879">
        <w:t>participant</w:t>
      </w:r>
      <w:r w:rsidR="00CC0733">
        <w:t xml:space="preserve"> was asked to indicate the role they were carrying ou</w:t>
      </w:r>
      <w:r w:rsidR="0014799F">
        <w:t xml:space="preserve">t in providing their response, the size of their organizations and their geographic locations.  </w:t>
      </w:r>
      <w:r w:rsidR="00CC0733" w:rsidRPr="003F7ED3">
        <w:t xml:space="preserve">As shown by </w:t>
      </w:r>
      <w:r w:rsidR="003F7ED3" w:rsidRPr="003F7ED3">
        <w:t>the following chart</w:t>
      </w:r>
      <w:r w:rsidR="003F7ED3">
        <w:t>s,</w:t>
      </w:r>
      <w:r w:rsidR="00CC0733" w:rsidRPr="003F7ED3">
        <w:t xml:space="preserve"> almost </w:t>
      </w:r>
      <w:r w:rsidR="002C1B06">
        <w:t>three-</w:t>
      </w:r>
      <w:r w:rsidR="00CC0733">
        <w:t xml:space="preserve">quarters were representing an organization that conducts substance abuse testing, </w:t>
      </w:r>
      <w:r w:rsidR="003F7ED3">
        <w:t>with</w:t>
      </w:r>
      <w:r w:rsidR="00CC0733">
        <w:t xml:space="preserve"> the </w:t>
      </w:r>
      <w:r w:rsidR="003F7ED3">
        <w:t>remai</w:t>
      </w:r>
      <w:r w:rsidR="003F7ED3">
        <w:t>n</w:t>
      </w:r>
      <w:r w:rsidR="003F7ED3">
        <w:t>ing quarter</w:t>
      </w:r>
      <w:r w:rsidR="00CC0733">
        <w:t xml:space="preserve"> divided fairly</w:t>
      </w:r>
      <w:r w:rsidR="003F7ED3">
        <w:t xml:space="preserve"> evenly among several interests; most of the </w:t>
      </w:r>
      <w:r w:rsidR="00B74879">
        <w:t>participant</w:t>
      </w:r>
      <w:r w:rsidR="003F7ED3">
        <w:t xml:space="preserve">s represented the larger employers and </w:t>
      </w:r>
      <w:r w:rsidR="00B74879">
        <w:t>participant</w:t>
      </w:r>
      <w:r w:rsidR="003F7ED3">
        <w:t>s were well distribu</w:t>
      </w:r>
      <w:r w:rsidR="00273989">
        <w:t>ted among the geographic areas</w:t>
      </w:r>
      <w:r w:rsidR="003F7ED3">
        <w:t>.</w:t>
      </w:r>
    </w:p>
    <w:p w:rsidR="00CC0733" w:rsidRPr="00AD4318" w:rsidRDefault="00AD4318" w:rsidP="00D90050">
      <w:pPr>
        <w:widowControl w:val="0"/>
        <w:autoSpaceDE w:val="0"/>
        <w:autoSpaceDN w:val="0"/>
        <w:adjustRightInd w:val="0"/>
        <w:spacing w:before="200" w:after="0"/>
        <w:rPr>
          <w:rFonts w:cs="Arial"/>
          <w:b/>
          <w:bCs/>
          <w:color w:val="000000"/>
          <w:sz w:val="28"/>
          <w:szCs w:val="28"/>
          <w:u w:val="single"/>
        </w:rPr>
      </w:pPr>
      <w:r w:rsidRPr="00AD4318">
        <w:rPr>
          <w:rFonts w:cs="Arial"/>
          <w:b/>
          <w:bCs/>
          <w:color w:val="000000"/>
          <w:sz w:val="28"/>
          <w:szCs w:val="28"/>
          <w:u w:val="single"/>
        </w:rPr>
        <w:lastRenderedPageBreak/>
        <w:t>Representation</w:t>
      </w:r>
    </w:p>
    <w:p w:rsidR="00CC0733" w:rsidRPr="00E01174" w:rsidRDefault="00D13791" w:rsidP="00CC0733">
      <w:pPr>
        <w:widowControl w:val="0"/>
        <w:autoSpaceDE w:val="0"/>
        <w:autoSpaceDN w:val="0"/>
        <w:adjustRightInd w:val="0"/>
        <w:spacing w:before="200" w:after="0"/>
        <w:jc w:val="center"/>
        <w:rPr>
          <w:rFonts w:cs="Arial"/>
          <w:b/>
          <w:bCs/>
          <w:color w:val="000000"/>
          <w:sz w:val="28"/>
          <w:szCs w:val="28"/>
        </w:rPr>
      </w:pPr>
      <w:r>
        <w:rPr>
          <w:noProof/>
        </w:rPr>
        <w:drawing>
          <wp:inline distT="0" distB="0" distL="0" distR="0" wp14:anchorId="1B5F0F21" wp14:editId="28D4165E">
            <wp:extent cx="6792685" cy="4721289"/>
            <wp:effectExtent l="0" t="0" r="825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606E" w:rsidRPr="00AD4318" w:rsidRDefault="00AD4318" w:rsidP="00AD4318">
      <w:pPr>
        <w:widowControl w:val="0"/>
        <w:autoSpaceDE w:val="0"/>
        <w:autoSpaceDN w:val="0"/>
        <w:adjustRightInd w:val="0"/>
        <w:spacing w:before="200" w:after="0"/>
        <w:rPr>
          <w:rFonts w:cs="Arial"/>
          <w:b/>
          <w:bCs/>
          <w:color w:val="000000"/>
          <w:sz w:val="28"/>
          <w:szCs w:val="28"/>
          <w:u w:val="single"/>
        </w:rPr>
      </w:pPr>
      <w:r w:rsidRPr="00AD4318">
        <w:rPr>
          <w:rFonts w:cs="Arial"/>
          <w:b/>
          <w:bCs/>
          <w:color w:val="000000"/>
          <w:sz w:val="28"/>
          <w:szCs w:val="28"/>
          <w:u w:val="single"/>
        </w:rPr>
        <w:t>Size of Organizations</w:t>
      </w:r>
    </w:p>
    <w:p w:rsidR="00CC0733" w:rsidRDefault="00CC0733" w:rsidP="00CC0733">
      <w:pPr>
        <w:jc w:val="center"/>
      </w:pPr>
      <w:r>
        <w:rPr>
          <w:noProof/>
        </w:rPr>
        <w:drawing>
          <wp:inline distT="0" distB="0" distL="0" distR="0" wp14:anchorId="6B6AE285" wp14:editId="7E81085E">
            <wp:extent cx="5023692" cy="2875402"/>
            <wp:effectExtent l="0" t="0" r="571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1B06" w:rsidRDefault="002C1B06">
      <w:pPr>
        <w:spacing w:after="0"/>
        <w:rPr>
          <w:b/>
          <w:sz w:val="28"/>
          <w:szCs w:val="28"/>
          <w:u w:val="single"/>
        </w:rPr>
      </w:pPr>
    </w:p>
    <w:p w:rsidR="002C1B06" w:rsidRDefault="002C1B06">
      <w:pPr>
        <w:spacing w:after="0"/>
        <w:rPr>
          <w:b/>
          <w:sz w:val="28"/>
          <w:szCs w:val="28"/>
          <w:u w:val="single"/>
        </w:rPr>
      </w:pPr>
    </w:p>
    <w:p w:rsidR="002C1B06" w:rsidRDefault="002C1B06">
      <w:pPr>
        <w:spacing w:after="0"/>
        <w:rPr>
          <w:b/>
          <w:sz w:val="28"/>
          <w:szCs w:val="28"/>
          <w:u w:val="single"/>
        </w:rPr>
      </w:pPr>
    </w:p>
    <w:p w:rsidR="002C1B06" w:rsidRDefault="002C1B06">
      <w:pPr>
        <w:spacing w:after="0"/>
        <w:rPr>
          <w:b/>
          <w:sz w:val="28"/>
          <w:szCs w:val="28"/>
          <w:u w:val="single"/>
        </w:rPr>
      </w:pPr>
    </w:p>
    <w:p w:rsidR="002C1B06" w:rsidRDefault="002C1B06">
      <w:pPr>
        <w:spacing w:after="0"/>
        <w:rPr>
          <w:b/>
          <w:sz w:val="28"/>
          <w:szCs w:val="28"/>
          <w:u w:val="single"/>
        </w:rPr>
      </w:pPr>
    </w:p>
    <w:p w:rsidR="005A0EEC" w:rsidRPr="00273989" w:rsidRDefault="00273989">
      <w:pPr>
        <w:spacing w:after="0"/>
        <w:rPr>
          <w:b/>
          <w:sz w:val="28"/>
          <w:szCs w:val="28"/>
          <w:u w:val="single"/>
        </w:rPr>
      </w:pPr>
      <w:r w:rsidRPr="00273989">
        <w:rPr>
          <w:b/>
          <w:sz w:val="28"/>
          <w:szCs w:val="28"/>
          <w:u w:val="single"/>
        </w:rPr>
        <w:t>Geographic Distribution</w:t>
      </w:r>
    </w:p>
    <w:p w:rsidR="0026606E" w:rsidRDefault="0026606E">
      <w:pPr>
        <w:spacing w:after="0"/>
      </w:pPr>
    </w:p>
    <w:p w:rsidR="0026606E" w:rsidRDefault="0026606E" w:rsidP="0026606E">
      <w:pPr>
        <w:spacing w:after="0"/>
        <w:jc w:val="center"/>
      </w:pPr>
      <w:r>
        <w:rPr>
          <w:noProof/>
        </w:rPr>
        <w:drawing>
          <wp:inline distT="0" distB="0" distL="0" distR="0" wp14:anchorId="372AE853" wp14:editId="041F7A78">
            <wp:extent cx="5943600" cy="346837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606E" w:rsidRDefault="0026606E">
      <w:pPr>
        <w:spacing w:after="0"/>
        <w:rPr>
          <w:rFonts w:ascii="Tw Cen MT Condensed" w:hAnsi="Tw Cen MT Condensed" w:cs="Arial"/>
          <w:iCs/>
          <w:kern w:val="32"/>
          <w:sz w:val="36"/>
          <w:szCs w:val="28"/>
        </w:rPr>
      </w:pPr>
    </w:p>
    <w:p w:rsidR="007B239A" w:rsidRDefault="007B239A">
      <w:pPr>
        <w:spacing w:after="0"/>
        <w:rPr>
          <w:rFonts w:ascii="Tw Cen MT Condensed" w:hAnsi="Tw Cen MT Condensed" w:cs="Arial"/>
          <w:iCs/>
          <w:kern w:val="32"/>
          <w:sz w:val="36"/>
          <w:szCs w:val="28"/>
        </w:rPr>
      </w:pPr>
      <w:r>
        <w:br w:type="page"/>
      </w:r>
    </w:p>
    <w:p w:rsidR="00CC0733" w:rsidRDefault="00E509C5" w:rsidP="00E509C5">
      <w:pPr>
        <w:pStyle w:val="Heading2"/>
        <w:rPr>
          <w:sz w:val="24"/>
          <w:szCs w:val="24"/>
        </w:rPr>
      </w:pPr>
      <w:r>
        <w:lastRenderedPageBreak/>
        <w:t>SUBSTANCE ABUSE EXPERIENCES AND R</w:t>
      </w:r>
      <w:r w:rsidR="00C870CD">
        <w:t>ESPONSE</w:t>
      </w:r>
    </w:p>
    <w:p w:rsidR="00DE6CD1" w:rsidRDefault="00DE6CD1" w:rsidP="00CC0733"/>
    <w:p w:rsidR="00C870CD" w:rsidRDefault="00CC0733" w:rsidP="00CC0733">
      <w:r>
        <w:t xml:space="preserve">As </w:t>
      </w:r>
      <w:r w:rsidRPr="00DE6CD1">
        <w:t xml:space="preserve">shown in the </w:t>
      </w:r>
      <w:r w:rsidR="00DE6CD1" w:rsidRPr="00DE6CD1">
        <w:t>chart</w:t>
      </w:r>
      <w:r w:rsidR="00542042">
        <w:t>s</w:t>
      </w:r>
      <w:r w:rsidR="00DE6CD1" w:rsidRPr="00DE6CD1">
        <w:t xml:space="preserve"> below,</w:t>
      </w:r>
      <w:r w:rsidRPr="00DE6CD1">
        <w:t xml:space="preserve"> </w:t>
      </w:r>
      <w:r w:rsidR="00273989">
        <w:t xml:space="preserve">the majority </w:t>
      </w:r>
      <w:r w:rsidR="00542042">
        <w:t>of</w:t>
      </w:r>
      <w:r w:rsidR="00273989">
        <w:t xml:space="preserve"> organizations</w:t>
      </w:r>
      <w:r>
        <w:t xml:space="preserve"> have </w:t>
      </w:r>
      <w:r w:rsidR="00542042">
        <w:t xml:space="preserve">not </w:t>
      </w:r>
      <w:r w:rsidR="002C1B06">
        <w:t>experienced drug-</w:t>
      </w:r>
      <w:r>
        <w:t xml:space="preserve">related incidents </w:t>
      </w:r>
      <w:r w:rsidR="00542042">
        <w:t>in their work places</w:t>
      </w:r>
      <w:r>
        <w:t>.  Interestingly</w:t>
      </w:r>
      <w:r w:rsidR="00542042">
        <w:t>, however,</w:t>
      </w:r>
      <w:r>
        <w:t xml:space="preserve"> about a third of the </w:t>
      </w:r>
      <w:r w:rsidR="00B74879">
        <w:t>participant</w:t>
      </w:r>
      <w:r>
        <w:t xml:space="preserve">s indicated they had not had an incident, but expected to have </w:t>
      </w:r>
      <w:r w:rsidR="00542042">
        <w:t>one</w:t>
      </w:r>
      <w:r>
        <w:t xml:space="preserve"> at some point in the future.</w:t>
      </w:r>
      <w:r w:rsidR="00DE6CD1">
        <w:t xml:space="preserve">  </w:t>
      </w:r>
      <w:r w:rsidR="00542042">
        <w:t>Among those who have had substance abuse related experiences at work, there appears to be</w:t>
      </w:r>
      <w:r w:rsidR="00DE6CD1">
        <w:t xml:space="preserve"> a</w:t>
      </w:r>
      <w:r w:rsidR="00542042">
        <w:t xml:space="preserve"> variety of the kinds of events that can occur.  Also,</w:t>
      </w:r>
      <w:r w:rsidR="00DE6CD1">
        <w:t xml:space="preserve"> many organizations </w:t>
      </w:r>
      <w:r w:rsidR="00542042">
        <w:t xml:space="preserve">that do have them may be </w:t>
      </w:r>
      <w:r w:rsidR="00DE6CD1">
        <w:t xml:space="preserve">reluctant to report substance abuse incidents in workers compensation claims. </w:t>
      </w:r>
    </w:p>
    <w:p w:rsidR="00273989" w:rsidRDefault="00273989" w:rsidP="00CC0733"/>
    <w:p w:rsidR="00AD4318" w:rsidRDefault="00AD4318" w:rsidP="00AD4318">
      <w:pPr>
        <w:spacing w:after="0"/>
        <w:rPr>
          <w:b/>
          <w:sz w:val="28"/>
          <w:szCs w:val="28"/>
          <w:u w:val="single"/>
        </w:rPr>
      </w:pPr>
      <w:r w:rsidRPr="00AD4318">
        <w:rPr>
          <w:b/>
          <w:sz w:val="28"/>
          <w:szCs w:val="28"/>
          <w:u w:val="single"/>
        </w:rPr>
        <w:t xml:space="preserve">Substance Abuse </w:t>
      </w:r>
      <w:r>
        <w:rPr>
          <w:b/>
          <w:sz w:val="28"/>
          <w:szCs w:val="28"/>
          <w:u w:val="single"/>
        </w:rPr>
        <w:t>Experience</w:t>
      </w:r>
      <w:r w:rsidRPr="00AD4318">
        <w:rPr>
          <w:b/>
          <w:sz w:val="28"/>
          <w:szCs w:val="28"/>
          <w:u w:val="single"/>
        </w:rPr>
        <w:t>s</w:t>
      </w:r>
    </w:p>
    <w:p w:rsidR="00AD4318" w:rsidRPr="00AD4318" w:rsidRDefault="00AD4318" w:rsidP="00AD4318">
      <w:pPr>
        <w:spacing w:after="0"/>
        <w:rPr>
          <w:b/>
          <w:sz w:val="28"/>
          <w:szCs w:val="28"/>
          <w:u w:val="single"/>
        </w:rPr>
      </w:pPr>
    </w:p>
    <w:p w:rsidR="00CC0733" w:rsidRDefault="00D83C34" w:rsidP="00AD4318">
      <w:pPr>
        <w:spacing w:after="0"/>
      </w:pPr>
      <w:r>
        <w:rPr>
          <w:b/>
          <w:sz w:val="28"/>
          <w:szCs w:val="28"/>
        </w:rPr>
        <w:t xml:space="preserve">Q.  </w:t>
      </w:r>
      <w:r w:rsidR="00031663">
        <w:rPr>
          <w:b/>
          <w:sz w:val="28"/>
          <w:szCs w:val="28"/>
        </w:rPr>
        <w:t xml:space="preserve">Have you ever had a workplace incident that you believed was caused or </w:t>
      </w:r>
      <w:r>
        <w:rPr>
          <w:b/>
          <w:sz w:val="28"/>
          <w:szCs w:val="28"/>
        </w:rPr>
        <w:t>aggravated</w:t>
      </w:r>
      <w:r w:rsidR="00031663">
        <w:rPr>
          <w:b/>
          <w:sz w:val="28"/>
          <w:szCs w:val="28"/>
        </w:rPr>
        <w:t xml:space="preserve"> by an employee’s substance abuse?</w:t>
      </w:r>
      <w:r w:rsidR="005A0EEC">
        <w:rPr>
          <w:noProof/>
        </w:rPr>
        <w:drawing>
          <wp:inline distT="0" distB="0" distL="0" distR="0" wp14:anchorId="46A9F78E" wp14:editId="018AD1A4">
            <wp:extent cx="5938344" cy="3321269"/>
            <wp:effectExtent l="0" t="0" r="571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3791" w:rsidRDefault="00D13791">
      <w:pPr>
        <w:spacing w:after="0"/>
      </w:pPr>
    </w:p>
    <w:p w:rsidR="00031663" w:rsidRDefault="00031663">
      <w:pPr>
        <w:spacing w:after="0"/>
        <w:rPr>
          <w:b/>
          <w:sz w:val="28"/>
          <w:szCs w:val="28"/>
        </w:rPr>
      </w:pPr>
      <w:r>
        <w:rPr>
          <w:b/>
          <w:sz w:val="28"/>
          <w:szCs w:val="28"/>
        </w:rPr>
        <w:br w:type="page"/>
      </w:r>
    </w:p>
    <w:p w:rsidR="00C870CD" w:rsidRPr="00C870CD" w:rsidRDefault="00A85B79" w:rsidP="00D90050">
      <w:pPr>
        <w:rPr>
          <w:b/>
          <w:sz w:val="28"/>
          <w:szCs w:val="28"/>
        </w:rPr>
      </w:pPr>
      <w:r>
        <w:rPr>
          <w:b/>
          <w:sz w:val="28"/>
          <w:szCs w:val="28"/>
        </w:rPr>
        <w:lastRenderedPageBreak/>
        <w:t>Characteristics</w:t>
      </w:r>
      <w:r w:rsidR="00D83C34">
        <w:rPr>
          <w:b/>
          <w:sz w:val="28"/>
          <w:szCs w:val="28"/>
        </w:rPr>
        <w:t xml:space="preserve"> of substance abuse incidents</w:t>
      </w:r>
      <w:r>
        <w:rPr>
          <w:b/>
          <w:sz w:val="28"/>
          <w:szCs w:val="28"/>
        </w:rPr>
        <w:t xml:space="preserve"> that occurred</w:t>
      </w:r>
    </w:p>
    <w:p w:rsidR="00CC0733" w:rsidRDefault="00CC0733" w:rsidP="00CC0733">
      <w:pPr>
        <w:jc w:val="center"/>
      </w:pPr>
      <w:r>
        <w:rPr>
          <w:noProof/>
        </w:rPr>
        <w:drawing>
          <wp:inline distT="0" distB="0" distL="0" distR="0" wp14:anchorId="459925E4" wp14:editId="1F4F8734">
            <wp:extent cx="6358759" cy="3016469"/>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0733" w:rsidRPr="00C870CD" w:rsidRDefault="00D83C34" w:rsidP="00D90050">
      <w:pPr>
        <w:rPr>
          <w:b/>
          <w:sz w:val="28"/>
          <w:szCs w:val="28"/>
        </w:rPr>
      </w:pPr>
      <w:r>
        <w:rPr>
          <w:b/>
          <w:sz w:val="28"/>
          <w:szCs w:val="28"/>
        </w:rPr>
        <w:t xml:space="preserve">Q.  </w:t>
      </w:r>
      <w:r w:rsidR="0026606E">
        <w:rPr>
          <w:b/>
          <w:sz w:val="28"/>
          <w:szCs w:val="28"/>
        </w:rPr>
        <w:t>When reporting a suspected substance abuse incident to Workers Comp, did</w:t>
      </w:r>
      <w:r>
        <w:rPr>
          <w:b/>
          <w:sz w:val="28"/>
          <w:szCs w:val="28"/>
        </w:rPr>
        <w:t xml:space="preserve"> you report</w:t>
      </w:r>
      <w:r w:rsidR="0026606E">
        <w:rPr>
          <w:b/>
          <w:sz w:val="28"/>
          <w:szCs w:val="28"/>
        </w:rPr>
        <w:t xml:space="preserve"> that its cause was from substance abuse</w:t>
      </w:r>
      <w:r w:rsidR="00C870CD" w:rsidRPr="00C870CD">
        <w:rPr>
          <w:b/>
          <w:sz w:val="28"/>
          <w:szCs w:val="28"/>
        </w:rPr>
        <w:t>?</w:t>
      </w:r>
    </w:p>
    <w:p w:rsidR="00CC0733" w:rsidRDefault="0026606E" w:rsidP="00CC0733">
      <w:pPr>
        <w:jc w:val="center"/>
      </w:pPr>
      <w:r>
        <w:rPr>
          <w:noProof/>
        </w:rPr>
        <mc:AlternateContent>
          <mc:Choice Requires="wps">
            <w:drawing>
              <wp:anchor distT="0" distB="0" distL="114300" distR="114300" simplePos="0" relativeHeight="251659264" behindDoc="0" locked="0" layoutInCell="1" allowOverlap="1" wp14:anchorId="49029FFF" wp14:editId="04C0C5C5">
                <wp:simplePos x="0" y="0"/>
                <wp:positionH relativeFrom="column">
                  <wp:posOffset>3764467</wp:posOffset>
                </wp:positionH>
                <wp:positionV relativeFrom="paragraph">
                  <wp:posOffset>3570185</wp:posOffset>
                </wp:positionV>
                <wp:extent cx="1255690" cy="296214"/>
                <wp:effectExtent l="0" t="0" r="190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690" cy="296214"/>
                        </a:xfrm>
                        <a:prstGeom prst="rect">
                          <a:avLst/>
                        </a:prstGeom>
                        <a:solidFill>
                          <a:srgbClr val="FFFFFF"/>
                        </a:solidFill>
                        <a:ln w="9525">
                          <a:noFill/>
                          <a:miter lim="800000"/>
                          <a:headEnd/>
                          <a:tailEnd/>
                        </a:ln>
                      </wps:spPr>
                      <wps:txbx>
                        <w:txbxContent>
                          <w:p w:rsidR="002C1B06" w:rsidRPr="0026606E" w:rsidRDefault="002C1B06">
                            <w:pPr>
                              <w:rPr>
                                <w:rFonts w:asciiTheme="minorHAnsi" w:hAnsiTheme="minorHAnsi"/>
                              </w:rPr>
                            </w:pPr>
                            <w:r w:rsidRPr="00AD4318">
                              <w:rPr>
                                <w:rFonts w:asciiTheme="minorHAnsi" w:hAnsiTheme="minorHAnsi"/>
                                <w:sz w:val="20"/>
                                <w:szCs w:val="20"/>
                              </w:rPr>
                              <w:t>(By</w:t>
                            </w:r>
                            <w:r w:rsidRPr="0026606E">
                              <w:rPr>
                                <w:rFonts w:asciiTheme="minorHAnsi" w:hAnsiTheme="minorHAnsi"/>
                              </w:rPr>
                              <w:t xml:space="preserve"> </w:t>
                            </w:r>
                            <w:r w:rsidRPr="00AD4318">
                              <w:rPr>
                                <w:rFonts w:asciiTheme="minorHAnsi" w:hAnsiTheme="minorHAnsi"/>
                                <w:sz w:val="20"/>
                                <w:szCs w:val="20"/>
                              </w:rPr>
                              <w:t>Percentage</w:t>
                            </w:r>
                            <w:r>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4pt;margin-top:281.1pt;width:98.8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IQIAAB0EAAAOAAAAZHJzL2Uyb0RvYy54bWysU9tu2zAMfR+wfxD0vtjxkrQx4hRdugwD&#10;ugvQ7gNoWY6FSaInKbG7rx+lpGm2vQ3zgyCa5OHhIbW6GY1mB+m8Qlvx6STnTFqBjbK7in973L65&#10;5swHsA1otLLiT9Lzm/XrV6uhL2WBHepGOkYg1pdDX/EuhL7MMi86acBPsJeWnC06A4FMt8saBwOh&#10;G50Veb7IBnRN71BI7+nv3dHJ1wm/baUIX9rWy8B0xYlbSKdLZx3PbL2Ccueg75Q40YB/YGFAWSp6&#10;hrqDAGzv1F9QRgmHHtswEWgybFslZOqBupnmf3Tz0EEvUy8kju/PMvn/Bys+H746ppqKv82vOLNg&#10;aEiPcgzsHY6siPoMvS8p7KGnwDDSb5pz6tX39yi+e2Zx04HdyVvncOgkNMRvGjOzi9Qjjo8g9fAJ&#10;GyoD+4AJaGydieKRHIzQaU5P59lEKiKWLObzxZJcgnzFclFMZ6kElM/ZvfPhg0TD4qXijmaf0OFw&#10;70NkA+VzSCzmUatmq7ROhtvVG+3YAWhPtuk7of8Wpi0bKr6cF/OEbDHmpxUyKtAea2Uqfp3HL6ZD&#10;GdV4b5t0D6D08U5MtD3JExU5ahPGeqTAqFmNzRMJ5fC4r/S+6NKh+8nZQLtacf9jD05ypj9aEns5&#10;nc3icidjNr8qyHCXnvrSA1YQVMUDZ8frJqQHEflavKWhtCrp9cLkxJV2MMl4ei9xyS/tFPXyqte/&#10;AAAA//8DAFBLAwQUAAYACAAAACEAK+2eY98AAAALAQAADwAAAGRycy9kb3ducmV2LnhtbEyPzU7D&#10;MBCE70i8g7VIXBB1iMgvcSpAAnHtzwM48TaJiNdR7Dbp27Oc4LajHc18U21XO4oLzn5wpOBpE4FA&#10;ap0ZqFNwPHw85iB80GT06AgVXNHDtr69qXRp3EI7vOxDJziEfKkV9CFMpZS+7dFqv3ETEv9ObrY6&#10;sJw7aWa9cLgdZRxFqbR6IG7o9YTvPbbf+7NVcPpaHpJiaT7DMds9p296yBp3Ver+bn19ARFwDX9m&#10;+MVndKiZqXFnMl6MCpIiZvTARxrHINiRFVEColGQRnkOsq7k/w31DwAAAP//AwBQSwECLQAUAAYA&#10;CAAAACEAtoM4kv4AAADhAQAAEwAAAAAAAAAAAAAAAAAAAAAAW0NvbnRlbnRfVHlwZXNdLnhtbFBL&#10;AQItABQABgAIAAAAIQA4/SH/1gAAAJQBAAALAAAAAAAAAAAAAAAAAC8BAABfcmVscy8ucmVsc1BL&#10;AQItABQABgAIAAAAIQBIAM+DIQIAAB0EAAAOAAAAAAAAAAAAAAAAAC4CAABkcnMvZTJvRG9jLnht&#10;bFBLAQItABQABgAIAAAAIQAr7Z5j3wAAAAsBAAAPAAAAAAAAAAAAAAAAAHsEAABkcnMvZG93bnJl&#10;di54bWxQSwUGAAAAAAQABADzAAAAhwUAAAAA&#10;" stroked="f">
                <v:textbox>
                  <w:txbxContent>
                    <w:p w:rsidR="002C1B06" w:rsidRPr="0026606E" w:rsidRDefault="002C1B06">
                      <w:pPr>
                        <w:rPr>
                          <w:rFonts w:asciiTheme="minorHAnsi" w:hAnsiTheme="minorHAnsi"/>
                        </w:rPr>
                      </w:pPr>
                      <w:r w:rsidRPr="00AD4318">
                        <w:rPr>
                          <w:rFonts w:asciiTheme="minorHAnsi" w:hAnsiTheme="minorHAnsi"/>
                          <w:sz w:val="20"/>
                          <w:szCs w:val="20"/>
                        </w:rPr>
                        <w:t>(By</w:t>
                      </w:r>
                      <w:r w:rsidRPr="0026606E">
                        <w:rPr>
                          <w:rFonts w:asciiTheme="minorHAnsi" w:hAnsiTheme="minorHAnsi"/>
                        </w:rPr>
                        <w:t xml:space="preserve"> </w:t>
                      </w:r>
                      <w:r w:rsidRPr="00AD4318">
                        <w:rPr>
                          <w:rFonts w:asciiTheme="minorHAnsi" w:hAnsiTheme="minorHAnsi"/>
                          <w:sz w:val="20"/>
                          <w:szCs w:val="20"/>
                        </w:rPr>
                        <w:t>Percentage</w:t>
                      </w:r>
                      <w:r>
                        <w:rPr>
                          <w:rFonts w:asciiTheme="minorHAnsi" w:hAnsiTheme="minorHAnsi"/>
                        </w:rPr>
                        <w:t>)</w:t>
                      </w:r>
                    </w:p>
                  </w:txbxContent>
                </v:textbox>
              </v:shape>
            </w:pict>
          </mc:Fallback>
        </mc:AlternateContent>
      </w:r>
      <w:r w:rsidR="00CC0733">
        <w:rPr>
          <w:noProof/>
        </w:rPr>
        <w:drawing>
          <wp:inline distT="0" distB="0" distL="0" distR="0" wp14:anchorId="726FB8A8" wp14:editId="430BF7AC">
            <wp:extent cx="6180083" cy="3993931"/>
            <wp:effectExtent l="0" t="0" r="0" b="698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0733" w:rsidRPr="00DE6CD1" w:rsidRDefault="00D9221B" w:rsidP="0026606E">
      <w:pPr>
        <w:spacing w:after="0"/>
        <w:rPr>
          <w:b/>
          <w:sz w:val="28"/>
          <w:szCs w:val="28"/>
        </w:rPr>
      </w:pPr>
      <w:r>
        <w:br w:type="page"/>
      </w:r>
      <w:r w:rsidR="00C870CD" w:rsidRPr="00DE6CD1">
        <w:rPr>
          <w:b/>
          <w:sz w:val="28"/>
          <w:szCs w:val="28"/>
        </w:rPr>
        <w:lastRenderedPageBreak/>
        <w:t>SUBSTANCE ABUSE TESTING</w:t>
      </w:r>
    </w:p>
    <w:p w:rsidR="0026606E" w:rsidRDefault="0026606E" w:rsidP="0026606E">
      <w:pPr>
        <w:spacing w:after="0"/>
      </w:pPr>
    </w:p>
    <w:p w:rsidR="00D83C34" w:rsidRDefault="0026606E" w:rsidP="00D90050">
      <w:pPr>
        <w:rPr>
          <w:b/>
          <w:sz w:val="28"/>
          <w:szCs w:val="28"/>
        </w:rPr>
      </w:pPr>
      <w:r>
        <w:rPr>
          <w:b/>
          <w:sz w:val="28"/>
          <w:szCs w:val="28"/>
        </w:rPr>
        <w:t xml:space="preserve">Q.  </w:t>
      </w:r>
      <w:r w:rsidR="00D83C34">
        <w:rPr>
          <w:b/>
          <w:sz w:val="28"/>
          <w:szCs w:val="28"/>
        </w:rPr>
        <w:t>Does your organization conduct drug testing of Maine employees under the state drug-testing law?</w:t>
      </w:r>
    </w:p>
    <w:p w:rsidR="00D83C34" w:rsidRDefault="00D83C34" w:rsidP="00D83C34">
      <w:pPr>
        <w:jc w:val="center"/>
        <w:rPr>
          <w:b/>
          <w:sz w:val="28"/>
          <w:szCs w:val="28"/>
        </w:rPr>
      </w:pPr>
      <w:r>
        <w:rPr>
          <w:noProof/>
        </w:rPr>
        <w:drawing>
          <wp:inline distT="0" distB="0" distL="0" distR="0" wp14:anchorId="3D2957E1" wp14:editId="761D16C5">
            <wp:extent cx="4572000" cy="2543504"/>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2223" w:rsidRDefault="00A82223" w:rsidP="00D90050">
      <w:pPr>
        <w:rPr>
          <w:b/>
          <w:sz w:val="28"/>
          <w:szCs w:val="28"/>
        </w:rPr>
      </w:pPr>
    </w:p>
    <w:p w:rsidR="00C870CD" w:rsidRPr="00C870CD" w:rsidRDefault="0026606E" w:rsidP="00D90050">
      <w:pPr>
        <w:rPr>
          <w:b/>
          <w:sz w:val="28"/>
          <w:szCs w:val="28"/>
        </w:rPr>
      </w:pPr>
      <w:r>
        <w:rPr>
          <w:b/>
          <w:sz w:val="28"/>
          <w:szCs w:val="28"/>
        </w:rPr>
        <w:t xml:space="preserve">Q.  </w:t>
      </w:r>
      <w:r w:rsidR="00A82223">
        <w:rPr>
          <w:b/>
          <w:sz w:val="28"/>
          <w:szCs w:val="28"/>
        </w:rPr>
        <w:t>Among</w:t>
      </w:r>
      <w:r>
        <w:rPr>
          <w:b/>
          <w:sz w:val="28"/>
          <w:szCs w:val="28"/>
        </w:rPr>
        <w:t xml:space="preserve"> those that </w:t>
      </w:r>
      <w:r w:rsidR="00A82223">
        <w:rPr>
          <w:b/>
          <w:sz w:val="28"/>
          <w:szCs w:val="28"/>
        </w:rPr>
        <w:t xml:space="preserve">do </w:t>
      </w:r>
      <w:r>
        <w:rPr>
          <w:b/>
          <w:sz w:val="28"/>
          <w:szCs w:val="28"/>
        </w:rPr>
        <w:t>conduct drug testing</w:t>
      </w:r>
      <w:r w:rsidR="00A82223">
        <w:rPr>
          <w:b/>
          <w:sz w:val="28"/>
          <w:szCs w:val="28"/>
        </w:rPr>
        <w:t>,</w:t>
      </w:r>
      <w:r>
        <w:rPr>
          <w:b/>
          <w:sz w:val="28"/>
          <w:szCs w:val="28"/>
        </w:rPr>
        <w:t xml:space="preserve"> which types of testing are used?</w:t>
      </w:r>
    </w:p>
    <w:p w:rsidR="00CC0733" w:rsidRDefault="00CC0733" w:rsidP="00CC0733">
      <w:pPr>
        <w:jc w:val="center"/>
      </w:pPr>
      <w:r>
        <w:rPr>
          <w:noProof/>
        </w:rPr>
        <w:drawing>
          <wp:inline distT="0" distB="0" distL="0" distR="0" wp14:anchorId="54FF8112" wp14:editId="690772F7">
            <wp:extent cx="5297213" cy="2606565"/>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606E" w:rsidRDefault="0026606E" w:rsidP="00D90050">
      <w:pPr>
        <w:rPr>
          <w:b/>
          <w:sz w:val="28"/>
          <w:szCs w:val="28"/>
        </w:rPr>
      </w:pPr>
    </w:p>
    <w:p w:rsidR="0026606E" w:rsidRDefault="0026606E">
      <w:pPr>
        <w:spacing w:after="0"/>
        <w:rPr>
          <w:b/>
          <w:sz w:val="28"/>
          <w:szCs w:val="28"/>
        </w:rPr>
      </w:pPr>
      <w:r>
        <w:rPr>
          <w:b/>
          <w:sz w:val="28"/>
          <w:szCs w:val="28"/>
        </w:rPr>
        <w:br w:type="page"/>
      </w:r>
    </w:p>
    <w:p w:rsidR="00C870CD" w:rsidRPr="00C870CD" w:rsidRDefault="00DE6CD1" w:rsidP="00D90050">
      <w:pPr>
        <w:rPr>
          <w:b/>
          <w:sz w:val="28"/>
          <w:szCs w:val="28"/>
        </w:rPr>
      </w:pPr>
      <w:r>
        <w:rPr>
          <w:b/>
          <w:sz w:val="28"/>
          <w:szCs w:val="28"/>
        </w:rPr>
        <w:lastRenderedPageBreak/>
        <w:t xml:space="preserve">Reasons provided for </w:t>
      </w:r>
      <w:r w:rsidR="00A82223">
        <w:rPr>
          <w:b/>
          <w:sz w:val="28"/>
          <w:szCs w:val="28"/>
        </w:rPr>
        <w:t>conducting substance abuse</w:t>
      </w:r>
      <w:r>
        <w:rPr>
          <w:b/>
          <w:sz w:val="28"/>
          <w:szCs w:val="28"/>
        </w:rPr>
        <w:t xml:space="preserve"> testing.</w:t>
      </w:r>
    </w:p>
    <w:p w:rsidR="00CC0733" w:rsidRDefault="00CC0733" w:rsidP="00CC0733">
      <w:pPr>
        <w:jc w:val="center"/>
      </w:pPr>
      <w:r>
        <w:rPr>
          <w:noProof/>
        </w:rPr>
        <w:drawing>
          <wp:inline distT="0" distB="0" distL="0" distR="0" wp14:anchorId="5DD26F5B" wp14:editId="6D06D909">
            <wp:extent cx="6195527" cy="4366727"/>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221B" w:rsidRDefault="00D9221B">
      <w:pPr>
        <w:spacing w:after="0"/>
        <w:rPr>
          <w:b/>
          <w:sz w:val="28"/>
          <w:szCs w:val="28"/>
        </w:rPr>
      </w:pPr>
      <w:r>
        <w:rPr>
          <w:b/>
          <w:sz w:val="28"/>
          <w:szCs w:val="28"/>
        </w:rPr>
        <w:br w:type="page"/>
      </w:r>
    </w:p>
    <w:p w:rsidR="00CC0733" w:rsidRPr="00A82223" w:rsidRDefault="00DE6CD1" w:rsidP="00CC0733">
      <w:pPr>
        <w:rPr>
          <w:b/>
          <w:sz w:val="28"/>
          <w:szCs w:val="28"/>
        </w:rPr>
      </w:pPr>
      <w:r>
        <w:rPr>
          <w:b/>
          <w:sz w:val="28"/>
          <w:szCs w:val="28"/>
        </w:rPr>
        <w:lastRenderedPageBreak/>
        <w:t xml:space="preserve">Why employers </w:t>
      </w:r>
      <w:r w:rsidR="00A82223">
        <w:rPr>
          <w:b/>
          <w:sz w:val="28"/>
          <w:szCs w:val="28"/>
        </w:rPr>
        <w:t>choose</w:t>
      </w:r>
      <w:r>
        <w:rPr>
          <w:b/>
          <w:sz w:val="28"/>
          <w:szCs w:val="28"/>
        </w:rPr>
        <w:t xml:space="preserve"> not </w:t>
      </w:r>
      <w:r w:rsidR="00A82223">
        <w:rPr>
          <w:b/>
          <w:sz w:val="28"/>
          <w:szCs w:val="28"/>
        </w:rPr>
        <w:t xml:space="preserve">to </w:t>
      </w:r>
      <w:r>
        <w:rPr>
          <w:b/>
          <w:sz w:val="28"/>
          <w:szCs w:val="28"/>
        </w:rPr>
        <w:t>conduct substance abuse testing.</w:t>
      </w:r>
    </w:p>
    <w:p w:rsidR="00CC0733" w:rsidRDefault="00CC0733" w:rsidP="00CC0733">
      <w:pPr>
        <w:jc w:val="center"/>
      </w:pPr>
      <w:r w:rsidRPr="00DC788B">
        <w:rPr>
          <w:noProof/>
        </w:rPr>
        <w:drawing>
          <wp:inline distT="0" distB="0" distL="0" distR="0" wp14:anchorId="3AC12C73" wp14:editId="1FD30D1F">
            <wp:extent cx="5949538" cy="5213268"/>
            <wp:effectExtent l="0" t="0" r="0"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0733" w:rsidRDefault="00CC0733" w:rsidP="00CC0733">
      <w:r>
        <w:br w:type="page"/>
      </w:r>
    </w:p>
    <w:p w:rsidR="00CC0733" w:rsidRPr="00BE0519" w:rsidRDefault="00CC0733" w:rsidP="00E509C5">
      <w:pPr>
        <w:pStyle w:val="Heading1"/>
      </w:pPr>
      <w:r w:rsidRPr="00BE0519">
        <w:lastRenderedPageBreak/>
        <w:t>RESPONSES TO SPECIFIC POLICY ISSUES</w:t>
      </w:r>
    </w:p>
    <w:p w:rsidR="00CC0733" w:rsidRPr="00CD5B84" w:rsidRDefault="00CC0733" w:rsidP="00CC0733"/>
    <w:p w:rsidR="00CC0733" w:rsidRPr="00652642" w:rsidRDefault="00CC0733" w:rsidP="00E509C5">
      <w:pPr>
        <w:pStyle w:val="Heading2"/>
      </w:pPr>
      <w:r w:rsidRPr="00193686">
        <w:t xml:space="preserve">Uniform </w:t>
      </w:r>
      <w:r w:rsidRPr="00652642">
        <w:t>Model Policy</w:t>
      </w:r>
    </w:p>
    <w:p w:rsidR="00AB45C4" w:rsidRDefault="00AB45C4" w:rsidP="00CC0733">
      <w:pPr>
        <w:rPr>
          <w:b/>
          <w:sz w:val="28"/>
          <w:szCs w:val="28"/>
          <w:u w:val="single"/>
        </w:rPr>
      </w:pP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 xml:space="preserve">The Maine Employer Drug Testing Law requires employers to submit a substance abuse testing policy for approval by </w:t>
      </w:r>
      <w:r w:rsidR="004C2C46">
        <w:t>the Bureau prior</w:t>
      </w:r>
      <w:r w:rsidRPr="00026B42">
        <w:t xml:space="preserve"> to drug testing applicants or employees not subject to federal drug-testing requirements. </w:t>
      </w:r>
    </w:p>
    <w:p w:rsidR="00CC0733" w:rsidRPr="00026B42" w:rsidRDefault="00CC0733" w:rsidP="00CC0733">
      <w:r w:rsidRPr="00026B42">
        <w:t>As originally administered, each employer had to prepare and submit its unique drug testing policy do</w:t>
      </w:r>
      <w:r w:rsidRPr="00026B42">
        <w:t>c</w:t>
      </w:r>
      <w:r w:rsidRPr="00026B42">
        <w:t>ument for BLS to approve.  To make this task simpler and less costly, BLS created “model policy” te</w:t>
      </w:r>
      <w:r w:rsidRPr="00026B42">
        <w:t>m</w:t>
      </w:r>
      <w:r w:rsidRPr="00026B42">
        <w:t>plates for employers to use that provided the structure and language necessary for an approvable policy.  These templates are found on the Department’s website</w:t>
      </w:r>
      <w:r w:rsidR="00F55AC4">
        <w:t>,</w:t>
      </w:r>
      <w:r w:rsidRPr="00026B42">
        <w:t xml:space="preserve"> and an employer may download a specific te</w:t>
      </w:r>
      <w:r w:rsidRPr="00026B42">
        <w:t>m</w:t>
      </w:r>
      <w:r w:rsidRPr="00026B42">
        <w:t>plate tailored to the type or combination of drug testing program(s) that an employer desires to impl</w:t>
      </w:r>
      <w:r w:rsidRPr="00026B42">
        <w:t>e</w:t>
      </w:r>
      <w:r w:rsidRPr="00026B42">
        <w:t>ment.</w:t>
      </w:r>
    </w:p>
    <w:p w:rsidR="00CC0733" w:rsidRPr="00026B42" w:rsidRDefault="00CC0733" w:rsidP="00CC0733">
      <w:r w:rsidRPr="00026B42">
        <w:t>Some have suggested that the next step in streamlining and simplifying the drug testing</w:t>
      </w:r>
      <w:r>
        <w:t xml:space="preserve"> policy </w:t>
      </w:r>
      <w:r w:rsidRPr="00026B42">
        <w:t>approval process would be for BLS to develop a uniform policy applicable to all drug testing scenarios.  Employers would then be able to adopt the uniform policy by reference, eliminating the need to prepare and submit individual policies. Such a “uniform policy” would integrate all requirements of the drug testing law into a single set of rules and parameters that would address all possible drug testing scenarios and could be a</w:t>
      </w:r>
      <w:r w:rsidRPr="00026B42">
        <w:t>p</w:t>
      </w:r>
      <w:r w:rsidRPr="00026B42">
        <w:t>plied to each drug testing program.  It would be established through formal rulemaking and enforced by BLS.  The only requirements for employers, besides following the new rules, would be to formally notify BLS prior to commencing a drug testing program and to report drug testing activities each year.</w:t>
      </w:r>
    </w:p>
    <w:p w:rsidR="00CC0733" w:rsidRPr="00026B42" w:rsidRDefault="00CC0733" w:rsidP="00CC0733">
      <w:r w:rsidRPr="00026B42">
        <w:t>Others have suggested that any efficiencies or benefits from the creation of a uniform model policy have already been achieved through the creation of the downloadable policy templates.  A number of emplo</w:t>
      </w:r>
      <w:r w:rsidRPr="00026B42">
        <w:t>y</w:t>
      </w:r>
      <w:r w:rsidRPr="00026B42">
        <w:t>ers have commented to BLS that the templates simplify the application process substantially.  They ind</w:t>
      </w:r>
      <w:r w:rsidRPr="00026B42">
        <w:t>i</w:t>
      </w:r>
      <w:r w:rsidRPr="00026B42">
        <w:t>cate that this part of the drug testing law no longer needs fixing.</w:t>
      </w:r>
    </w:p>
    <w:p w:rsidR="00CC0733" w:rsidRPr="00355348" w:rsidRDefault="00CC0733" w:rsidP="00CC0733">
      <w:pPr>
        <w:rPr>
          <w:sz w:val="16"/>
          <w:szCs w:val="16"/>
        </w:rPr>
      </w:pPr>
    </w:p>
    <w:p w:rsidR="00CC0733" w:rsidRPr="00DE6CD1" w:rsidRDefault="00CC0733" w:rsidP="00CC0733">
      <w:pPr>
        <w:rPr>
          <w:b/>
          <w:sz w:val="28"/>
          <w:szCs w:val="28"/>
          <w:u w:val="single"/>
        </w:rPr>
      </w:pPr>
      <w:r w:rsidRPr="00DE6CD1">
        <w:rPr>
          <w:b/>
          <w:sz w:val="28"/>
          <w:szCs w:val="28"/>
          <w:u w:val="single"/>
        </w:rPr>
        <w:t xml:space="preserve">Survey Information </w:t>
      </w:r>
    </w:p>
    <w:p w:rsidR="00CC0733" w:rsidRDefault="00CC0733" w:rsidP="00CC0733">
      <w:r w:rsidRPr="00126337">
        <w:t xml:space="preserve">Of the survey participants that </w:t>
      </w:r>
      <w:r w:rsidR="0017425C">
        <w:t>answered this question:  47 percent indicate they prefer that</w:t>
      </w:r>
      <w:r w:rsidRPr="00126337">
        <w:t xml:space="preserve"> BLS establish a uniform model policy and</w:t>
      </w:r>
      <w:r w:rsidR="007C1EF3">
        <w:t xml:space="preserve"> 53 percent </w:t>
      </w:r>
      <w:r w:rsidR="00542042">
        <w:t>do</w:t>
      </w:r>
      <w:r w:rsidR="007C1EF3">
        <w:t xml:space="preserve"> not</w:t>
      </w:r>
      <w:r w:rsidR="0017425C">
        <w:t>.   Those who do not include</w:t>
      </w:r>
      <w:r w:rsidR="00542042">
        <w:t xml:space="preserve"> </w:t>
      </w:r>
      <w:r w:rsidRPr="00126337">
        <w:t>41 percent</w:t>
      </w:r>
      <w:r w:rsidR="00542042">
        <w:t xml:space="preserve"> that</w:t>
      </w:r>
      <w:r w:rsidRPr="00126337">
        <w:t xml:space="preserve"> prefer to keep with the current policy templates</w:t>
      </w:r>
      <w:r w:rsidR="007C1EF3">
        <w:t xml:space="preserve"> and </w:t>
      </w:r>
      <w:r w:rsidRPr="00126337">
        <w:t>12 percent</w:t>
      </w:r>
      <w:r w:rsidR="00542042">
        <w:t xml:space="preserve"> that prefer</w:t>
      </w:r>
      <w:r w:rsidRPr="00126337">
        <w:t xml:space="preserve"> to write their own policy documents.  </w:t>
      </w:r>
      <w:r w:rsidR="009D3441">
        <w:t>Ina</w:t>
      </w:r>
      <w:r w:rsidR="009D3441">
        <w:t>s</w:t>
      </w:r>
      <w:r w:rsidR="009D3441">
        <w:lastRenderedPageBreak/>
        <w:t>much as most of the respondents were employers, t</w:t>
      </w:r>
      <w:r w:rsidR="0017425C">
        <w:t>his is a different outcome than</w:t>
      </w:r>
      <w:r w:rsidR="009D3441">
        <w:t xml:space="preserve"> we might have</w:t>
      </w:r>
      <w:r w:rsidR="0017425C">
        <w:t xml:space="preserve"> antic</w:t>
      </w:r>
      <w:r w:rsidR="0017425C">
        <w:t>i</w:t>
      </w:r>
      <w:r w:rsidR="0017425C">
        <w:t>pated.</w:t>
      </w:r>
    </w:p>
    <w:p w:rsidR="004C22D2" w:rsidRDefault="004C22D2" w:rsidP="00CC0733"/>
    <w:p w:rsidR="004C22D2" w:rsidRPr="00542042" w:rsidRDefault="004C22D2" w:rsidP="00CC0733">
      <w:pPr>
        <w:rPr>
          <w:b/>
          <w:sz w:val="28"/>
          <w:szCs w:val="28"/>
        </w:rPr>
      </w:pPr>
      <w:r w:rsidRPr="00542042">
        <w:rPr>
          <w:b/>
          <w:sz w:val="28"/>
          <w:szCs w:val="28"/>
        </w:rPr>
        <w:t xml:space="preserve">Policy </w:t>
      </w:r>
      <w:r w:rsidR="00542042" w:rsidRPr="00542042">
        <w:rPr>
          <w:b/>
          <w:sz w:val="28"/>
          <w:szCs w:val="28"/>
        </w:rPr>
        <w:t xml:space="preserve">Development </w:t>
      </w:r>
      <w:r w:rsidRPr="00542042">
        <w:rPr>
          <w:b/>
          <w:sz w:val="28"/>
          <w:szCs w:val="28"/>
        </w:rPr>
        <w:t>Preference</w:t>
      </w:r>
    </w:p>
    <w:p w:rsidR="003C222F" w:rsidRDefault="00CC0733" w:rsidP="00A85B79">
      <w:pPr>
        <w:jc w:val="center"/>
      </w:pPr>
      <w:r>
        <w:rPr>
          <w:noProof/>
        </w:rPr>
        <w:drawing>
          <wp:inline distT="0" distB="0" distL="0" distR="0" wp14:anchorId="222B1EA0" wp14:editId="6B42B7F0">
            <wp:extent cx="5927835" cy="4708634"/>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6CD1" w:rsidRPr="00DE6CD1" w:rsidRDefault="00DE6CD1" w:rsidP="00CC0733">
      <w:pPr>
        <w:rPr>
          <w:b/>
          <w:sz w:val="28"/>
          <w:szCs w:val="28"/>
          <w:u w:val="single"/>
        </w:rPr>
      </w:pPr>
      <w:r w:rsidRPr="00DE6CD1">
        <w:rPr>
          <w:b/>
          <w:sz w:val="28"/>
          <w:szCs w:val="28"/>
          <w:u w:val="single"/>
        </w:rPr>
        <w:t>Comments</w:t>
      </w:r>
    </w:p>
    <w:p w:rsidR="00CC0733" w:rsidRDefault="00CC0733" w:rsidP="00CC0733">
      <w:r w:rsidRPr="00126337">
        <w:t xml:space="preserve">Comments received from 37 </w:t>
      </w:r>
      <w:r w:rsidR="00B74879">
        <w:t>participant</w:t>
      </w:r>
      <w:r w:rsidRPr="00126337">
        <w:t>s offered arguments fo</w:t>
      </w:r>
      <w:r w:rsidR="007C1EF3">
        <w:t>r creating a uniform policy and, alternativ</w:t>
      </w:r>
      <w:r w:rsidR="007C1EF3">
        <w:t>e</w:t>
      </w:r>
      <w:r w:rsidR="007C1EF3">
        <w:t xml:space="preserve">ly, </w:t>
      </w:r>
      <w:r w:rsidRPr="00126337">
        <w:t>arguments for making simple improvements to the current model policy templates. More of the</w:t>
      </w:r>
      <w:r w:rsidR="00A85B79">
        <w:t xml:space="preserve"> wri</w:t>
      </w:r>
      <w:r w:rsidR="00A85B79">
        <w:t>t</w:t>
      </w:r>
      <w:r w:rsidR="00A85B79">
        <w:t>ten</w:t>
      </w:r>
      <w:r w:rsidRPr="00126337">
        <w:t xml:space="preserve"> comments favor</w:t>
      </w:r>
      <w:r w:rsidR="007C1EF3">
        <w:t>ed</w:t>
      </w:r>
      <w:r w:rsidRPr="00126337">
        <w:t xml:space="preserve"> relatively simple improvements to the current model policy templates and how they are applied, rather than developing a new uniform policy.</w:t>
      </w:r>
    </w:p>
    <w:p w:rsidR="00CC0733" w:rsidRDefault="00CC0733" w:rsidP="00CC0733">
      <w:pPr>
        <w:rPr>
          <w:b/>
          <w:sz w:val="36"/>
          <w:szCs w:val="36"/>
        </w:rPr>
      </w:pPr>
      <w:r>
        <w:rPr>
          <w:b/>
          <w:sz w:val="36"/>
          <w:szCs w:val="36"/>
        </w:rPr>
        <w:br w:type="page"/>
      </w:r>
    </w:p>
    <w:p w:rsidR="00CC0733" w:rsidRPr="00193686" w:rsidRDefault="00CC0733" w:rsidP="00E509C5">
      <w:pPr>
        <w:pStyle w:val="Heading2"/>
      </w:pPr>
      <w:r>
        <w:lastRenderedPageBreak/>
        <w:t>Employee Assistance Programs</w:t>
      </w:r>
      <w:r w:rsidRPr="00193686">
        <w:t xml:space="preserve"> (EAP)</w:t>
      </w:r>
    </w:p>
    <w:p w:rsidR="00AB45C4" w:rsidRDefault="00AB45C4" w:rsidP="00CC0733">
      <w:pPr>
        <w:rPr>
          <w:b/>
          <w:sz w:val="28"/>
          <w:szCs w:val="28"/>
          <w:u w:val="single"/>
        </w:rPr>
      </w:pP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Under the drug testing law, any employer with more than 20 full-time employees that conducts employee drug testing is required to have a functioning employee assistance program (EAP) certified by the Maine Department of Health and Human Services.</w:t>
      </w:r>
    </w:p>
    <w:p w:rsidR="00CC0733" w:rsidRDefault="00CC0733" w:rsidP="00CC0733">
      <w:pPr>
        <w:rPr>
          <w:sz w:val="16"/>
          <w:szCs w:val="16"/>
        </w:rPr>
      </w:pPr>
      <w:r w:rsidRPr="00026B42">
        <w:t>Some have suggested that procuring or maintaining an EAP can be overly costly for employers, especially smaller businesses.  As such, they can be a barrier or disincentive for employers who wish to conduct e</w:t>
      </w:r>
      <w:r w:rsidRPr="00026B42">
        <w:t>m</w:t>
      </w:r>
      <w:r w:rsidRPr="00026B42">
        <w:t>ployee drug testing.  Others suggest that there may be less costly alternatives to maintaining an EAP that could be attractive to both large and smaller employers</w:t>
      </w:r>
      <w:r w:rsidRPr="00DF4956">
        <w:rPr>
          <w:sz w:val="16"/>
          <w:szCs w:val="16"/>
        </w:rPr>
        <w:t>.</w:t>
      </w:r>
    </w:p>
    <w:p w:rsidR="00CC0733" w:rsidRPr="00DF4956" w:rsidRDefault="00CC0733" w:rsidP="00CC0733">
      <w:pPr>
        <w:rPr>
          <w:sz w:val="16"/>
          <w:szCs w:val="16"/>
        </w:rPr>
      </w:pPr>
    </w:p>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D90050" w:rsidRPr="00542042" w:rsidRDefault="00CC0733" w:rsidP="00D90050">
      <w:r w:rsidRPr="00026B42">
        <w:t>Of the employers who responded to the</w:t>
      </w:r>
      <w:r>
        <w:t xml:space="preserve"> EAP</w:t>
      </w:r>
      <w:r w:rsidRPr="00026B42">
        <w:t xml:space="preserve"> question</w:t>
      </w:r>
      <w:r>
        <w:t>s</w:t>
      </w:r>
      <w:r w:rsidRPr="00026B42">
        <w:t>, 72 percent</w:t>
      </w:r>
      <w:r>
        <w:t xml:space="preserve"> indicated they </w:t>
      </w:r>
      <w:r w:rsidRPr="00026B42">
        <w:t xml:space="preserve">have an </w:t>
      </w:r>
      <w:r>
        <w:t>EAP and most</w:t>
      </w:r>
      <w:r w:rsidRPr="00026B42">
        <w:t xml:space="preserve"> </w:t>
      </w:r>
      <w:r>
        <w:t>had</w:t>
      </w:r>
      <w:r w:rsidRPr="00026B42">
        <w:t xml:space="preserve"> an annual </w:t>
      </w:r>
      <w:r>
        <w:t>EAP</w:t>
      </w:r>
      <w:r w:rsidRPr="00026B42">
        <w:t xml:space="preserve"> cost of less than $1,000 per employee served.  </w:t>
      </w:r>
      <w:r>
        <w:t>Most of the employers</w:t>
      </w:r>
      <w:r w:rsidRPr="00026B42">
        <w:t xml:space="preserve"> who have EAPs </w:t>
      </w:r>
      <w:r>
        <w:t xml:space="preserve">are not </w:t>
      </w:r>
      <w:r w:rsidRPr="00026B42">
        <w:t>looking to replace them.</w:t>
      </w:r>
    </w:p>
    <w:p w:rsidR="00D90050" w:rsidRPr="00D90050" w:rsidRDefault="004C22D2" w:rsidP="00D90050">
      <w:pPr>
        <w:rPr>
          <w:b/>
          <w:sz w:val="28"/>
          <w:szCs w:val="28"/>
        </w:rPr>
      </w:pPr>
      <w:r>
        <w:rPr>
          <w:b/>
          <w:sz w:val="28"/>
          <w:szCs w:val="28"/>
        </w:rPr>
        <w:t xml:space="preserve">Q. </w:t>
      </w:r>
      <w:r w:rsidR="00D90050">
        <w:rPr>
          <w:b/>
          <w:sz w:val="28"/>
          <w:szCs w:val="28"/>
        </w:rPr>
        <w:t>Does your organization maintain an Employee Assistance Program?</w:t>
      </w:r>
    </w:p>
    <w:p w:rsidR="00C870CD" w:rsidRDefault="00D90050" w:rsidP="00D90050">
      <w:pPr>
        <w:jc w:val="center"/>
      </w:pPr>
      <w:r>
        <w:rPr>
          <w:noProof/>
        </w:rPr>
        <w:drawing>
          <wp:inline distT="0" distB="0" distL="0" distR="0" wp14:anchorId="1E1FCD55" wp14:editId="4514E8D5">
            <wp:extent cx="5526156" cy="286247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0733" w:rsidRDefault="00CC0733" w:rsidP="00CC0733">
      <w:pPr>
        <w:jc w:val="center"/>
        <w:rPr>
          <w:b/>
          <w:sz w:val="28"/>
          <w:szCs w:val="28"/>
          <w:u w:val="single"/>
        </w:rPr>
      </w:pPr>
    </w:p>
    <w:p w:rsidR="00542042" w:rsidRDefault="00542042">
      <w:pPr>
        <w:spacing w:after="0"/>
        <w:rPr>
          <w:b/>
          <w:sz w:val="28"/>
          <w:szCs w:val="28"/>
        </w:rPr>
      </w:pPr>
      <w:r>
        <w:rPr>
          <w:b/>
          <w:sz w:val="28"/>
          <w:szCs w:val="28"/>
        </w:rPr>
        <w:br w:type="page"/>
      </w:r>
    </w:p>
    <w:p w:rsidR="00D90050" w:rsidRPr="00D90050" w:rsidRDefault="004C22D2" w:rsidP="00D90050">
      <w:pPr>
        <w:rPr>
          <w:b/>
          <w:sz w:val="28"/>
          <w:szCs w:val="28"/>
        </w:rPr>
      </w:pPr>
      <w:r>
        <w:rPr>
          <w:b/>
          <w:sz w:val="28"/>
          <w:szCs w:val="28"/>
        </w:rPr>
        <w:lastRenderedPageBreak/>
        <w:t xml:space="preserve">Q. </w:t>
      </w:r>
      <w:r w:rsidR="00D90050">
        <w:rPr>
          <w:b/>
          <w:sz w:val="28"/>
          <w:szCs w:val="28"/>
        </w:rPr>
        <w:t>What is your annual EAP cost per employee that uses the program?</w:t>
      </w:r>
    </w:p>
    <w:p w:rsidR="00CC0733" w:rsidRDefault="00CC0733" w:rsidP="00CC0733">
      <w:pPr>
        <w:jc w:val="center"/>
        <w:rPr>
          <w:b/>
          <w:sz w:val="28"/>
          <w:szCs w:val="28"/>
          <w:u w:val="single"/>
        </w:rPr>
      </w:pPr>
      <w:r>
        <w:rPr>
          <w:noProof/>
        </w:rPr>
        <w:drawing>
          <wp:inline distT="0" distB="0" distL="0" distR="0" wp14:anchorId="4E34FAA3" wp14:editId="61800F16">
            <wp:extent cx="6096000" cy="38100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0050" w:rsidRPr="00A82223" w:rsidRDefault="004C22D2" w:rsidP="00A82223">
      <w:pPr>
        <w:rPr>
          <w:b/>
          <w:sz w:val="28"/>
          <w:szCs w:val="28"/>
        </w:rPr>
      </w:pPr>
      <w:r>
        <w:rPr>
          <w:b/>
          <w:sz w:val="28"/>
          <w:szCs w:val="28"/>
        </w:rPr>
        <w:t xml:space="preserve">Q. </w:t>
      </w:r>
      <w:r w:rsidR="00D90050">
        <w:rPr>
          <w:b/>
          <w:sz w:val="28"/>
          <w:szCs w:val="28"/>
        </w:rPr>
        <w:t>Would your organization consider providing drug abuse awareness, prevention and intervention programs as well as related training for your employees in lieu of an EAP, even though they would require your time and funding?</w:t>
      </w:r>
    </w:p>
    <w:p w:rsidR="00CC0733" w:rsidRDefault="00CC0733" w:rsidP="00CC0733">
      <w:pPr>
        <w:jc w:val="center"/>
        <w:rPr>
          <w:b/>
          <w:sz w:val="28"/>
          <w:szCs w:val="28"/>
          <w:u w:val="single"/>
        </w:rPr>
      </w:pPr>
      <w:r>
        <w:rPr>
          <w:noProof/>
        </w:rPr>
        <w:drawing>
          <wp:inline distT="0" distB="0" distL="0" distR="0" wp14:anchorId="08CFB0F6" wp14:editId="22C48B69">
            <wp:extent cx="6019800" cy="2743200"/>
            <wp:effectExtent l="0" t="1905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90050" w:rsidRDefault="00D90050" w:rsidP="00CC0733">
      <w:pPr>
        <w:jc w:val="center"/>
        <w:rPr>
          <w:b/>
          <w:sz w:val="28"/>
          <w:szCs w:val="28"/>
          <w:u w:val="single"/>
        </w:rPr>
      </w:pPr>
    </w:p>
    <w:p w:rsidR="00D90050" w:rsidRDefault="004C22D2" w:rsidP="00D90050">
      <w:pPr>
        <w:rPr>
          <w:b/>
          <w:sz w:val="28"/>
          <w:szCs w:val="28"/>
          <w:u w:val="single"/>
        </w:rPr>
      </w:pPr>
      <w:r>
        <w:rPr>
          <w:b/>
          <w:sz w:val="28"/>
          <w:szCs w:val="28"/>
        </w:rPr>
        <w:lastRenderedPageBreak/>
        <w:t xml:space="preserve">Q. </w:t>
      </w:r>
      <w:r w:rsidR="00D90050">
        <w:rPr>
          <w:b/>
          <w:sz w:val="28"/>
          <w:szCs w:val="28"/>
        </w:rPr>
        <w:t>Are you currently conducting drug awareness, drug abuse prevention or interve</w:t>
      </w:r>
      <w:r w:rsidR="00D90050">
        <w:rPr>
          <w:b/>
          <w:sz w:val="28"/>
          <w:szCs w:val="28"/>
        </w:rPr>
        <w:t>n</w:t>
      </w:r>
      <w:r w:rsidR="00D90050">
        <w:rPr>
          <w:b/>
          <w:sz w:val="28"/>
          <w:szCs w:val="28"/>
        </w:rPr>
        <w:t>tion programs that are not part of an EAP?</w:t>
      </w:r>
    </w:p>
    <w:p w:rsidR="00CC0733" w:rsidRDefault="00CC0733" w:rsidP="00CC0733">
      <w:pPr>
        <w:jc w:val="center"/>
        <w:rPr>
          <w:b/>
          <w:sz w:val="28"/>
          <w:szCs w:val="28"/>
          <w:u w:val="single"/>
        </w:rPr>
      </w:pPr>
      <w:r>
        <w:rPr>
          <w:noProof/>
        </w:rPr>
        <w:drawing>
          <wp:inline distT="0" distB="0" distL="0" distR="0" wp14:anchorId="6924FDE7" wp14:editId="4B2D810D">
            <wp:extent cx="5938344" cy="2774731"/>
            <wp:effectExtent l="0" t="0" r="5715" b="698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E2B6E" w:rsidRDefault="00BE2B6E" w:rsidP="00D90050">
      <w:pPr>
        <w:rPr>
          <w:b/>
          <w:sz w:val="28"/>
          <w:szCs w:val="28"/>
        </w:rPr>
      </w:pPr>
    </w:p>
    <w:p w:rsidR="00D90050" w:rsidRPr="00C870CD" w:rsidRDefault="004C22D2" w:rsidP="00D90050">
      <w:pPr>
        <w:rPr>
          <w:b/>
          <w:sz w:val="28"/>
          <w:szCs w:val="28"/>
        </w:rPr>
      </w:pPr>
      <w:r>
        <w:rPr>
          <w:b/>
          <w:sz w:val="28"/>
          <w:szCs w:val="28"/>
        </w:rPr>
        <w:t xml:space="preserve">Q. </w:t>
      </w:r>
      <w:r w:rsidR="00D90050">
        <w:rPr>
          <w:b/>
          <w:sz w:val="28"/>
          <w:szCs w:val="28"/>
        </w:rPr>
        <w:t xml:space="preserve">Would your organization be interested in participating in, or having your employees participate in </w:t>
      </w:r>
      <w:r w:rsidR="006B2C27">
        <w:rPr>
          <w:b/>
          <w:sz w:val="28"/>
          <w:szCs w:val="28"/>
        </w:rPr>
        <w:t xml:space="preserve">drug abuse, awareness, prevention and/or </w:t>
      </w:r>
      <w:r w:rsidR="00542042">
        <w:rPr>
          <w:b/>
          <w:sz w:val="28"/>
          <w:szCs w:val="28"/>
        </w:rPr>
        <w:t>intervention training sessions provided by state or other professional health and wellness organizations?</w:t>
      </w:r>
    </w:p>
    <w:p w:rsidR="00D90050" w:rsidRDefault="00BE2B6E" w:rsidP="00CC0733">
      <w:pPr>
        <w:jc w:val="center"/>
        <w:rPr>
          <w:b/>
          <w:sz w:val="28"/>
          <w:szCs w:val="28"/>
          <w:u w:val="single"/>
        </w:rPr>
      </w:pPr>
      <w:r>
        <w:rPr>
          <w:noProof/>
        </w:rPr>
        <w:drawing>
          <wp:inline distT="0" distB="0" distL="0" distR="0" wp14:anchorId="2BBCAC69" wp14:editId="002F0613">
            <wp:extent cx="5087007" cy="3205655"/>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6033E" w:rsidRDefault="0056033E">
      <w:pPr>
        <w:spacing w:after="0"/>
        <w:rPr>
          <w:b/>
          <w:bCs/>
          <w:sz w:val="28"/>
          <w:szCs w:val="28"/>
        </w:rPr>
      </w:pPr>
      <w:r>
        <w:rPr>
          <w:b/>
          <w:bCs/>
          <w:sz w:val="28"/>
          <w:szCs w:val="28"/>
        </w:rPr>
        <w:br w:type="page"/>
      </w:r>
    </w:p>
    <w:p w:rsidR="0056033E" w:rsidRPr="0056033E" w:rsidRDefault="0056033E" w:rsidP="0056033E">
      <w:pPr>
        <w:rPr>
          <w:b/>
          <w:sz w:val="28"/>
          <w:szCs w:val="28"/>
        </w:rPr>
      </w:pPr>
      <w:r w:rsidRPr="0056033E">
        <w:rPr>
          <w:b/>
          <w:bCs/>
          <w:sz w:val="28"/>
          <w:szCs w:val="28"/>
        </w:rPr>
        <w:lastRenderedPageBreak/>
        <w:t>Q.  If an affordable drug awareness/drug abuse prevention training program were available online or at accessible locations, would you be interested in adding it to your new employee training requirements?</w:t>
      </w:r>
    </w:p>
    <w:p w:rsidR="00CC0733" w:rsidRDefault="00CC0733" w:rsidP="00CC0733">
      <w:pPr>
        <w:jc w:val="center"/>
        <w:rPr>
          <w:b/>
          <w:sz w:val="28"/>
          <w:szCs w:val="28"/>
          <w:u w:val="single"/>
        </w:rPr>
      </w:pPr>
    </w:p>
    <w:p w:rsidR="00CC0733" w:rsidRDefault="00CC0733" w:rsidP="00CC0733">
      <w:pPr>
        <w:jc w:val="center"/>
        <w:rPr>
          <w:b/>
          <w:sz w:val="28"/>
          <w:szCs w:val="28"/>
          <w:u w:val="single"/>
        </w:rPr>
      </w:pPr>
      <w:r>
        <w:rPr>
          <w:noProof/>
        </w:rPr>
        <w:drawing>
          <wp:inline distT="0" distB="0" distL="0" distR="0" wp14:anchorId="2708B6C9" wp14:editId="1458F31F">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C0733" w:rsidRDefault="00DE6CD1" w:rsidP="00DE6CD1">
      <w:pPr>
        <w:jc w:val="both"/>
        <w:rPr>
          <w:b/>
          <w:sz w:val="28"/>
          <w:szCs w:val="28"/>
          <w:u w:val="single"/>
        </w:rPr>
      </w:pPr>
      <w:r>
        <w:rPr>
          <w:b/>
          <w:sz w:val="28"/>
          <w:szCs w:val="28"/>
          <w:u w:val="single"/>
        </w:rPr>
        <w:t>Comments</w:t>
      </w:r>
    </w:p>
    <w:p w:rsidR="00117BAC" w:rsidRPr="00117BAC" w:rsidRDefault="00117BAC" w:rsidP="00117BAC">
      <w:r w:rsidRPr="00026B42">
        <w:t xml:space="preserve">Written comments and observations relating to medical </w:t>
      </w:r>
      <w:r>
        <w:t>EAPs</w:t>
      </w:r>
      <w:r w:rsidRPr="00026B42">
        <w:t xml:space="preserve"> were provided by </w:t>
      </w:r>
      <w:r>
        <w:t>many</w:t>
      </w:r>
      <w:r w:rsidRPr="00026B42">
        <w:t xml:space="preserve"> survey participants.  They fall into the </w:t>
      </w:r>
      <w:r w:rsidRPr="00117BAC">
        <w:t>following general statements</w:t>
      </w:r>
      <w:r w:rsidR="00AA0860">
        <w:t xml:space="preserve"> in order of prevalence</w:t>
      </w:r>
      <w:r w:rsidRPr="00117BAC">
        <w:t>:</w:t>
      </w:r>
    </w:p>
    <w:p w:rsidR="00AA0860" w:rsidRPr="00117BAC" w:rsidRDefault="00AA0860" w:rsidP="00AA0860">
      <w:pPr>
        <w:pStyle w:val="ListParagraph"/>
        <w:numPr>
          <w:ilvl w:val="0"/>
          <w:numId w:val="14"/>
        </w:numPr>
        <w:rPr>
          <w:rFonts w:ascii="Minion Pro" w:hAnsi="Minion Pro"/>
        </w:rPr>
      </w:pPr>
      <w:r w:rsidRPr="00117BAC">
        <w:rPr>
          <w:rFonts w:ascii="Minion Pro" w:hAnsi="Minion Pro"/>
        </w:rPr>
        <w:t xml:space="preserve">EAPs are good resources, they have many good aspects, </w:t>
      </w:r>
      <w:proofErr w:type="gramStart"/>
      <w:r w:rsidRPr="00117BAC">
        <w:rPr>
          <w:rFonts w:ascii="Minion Pro" w:hAnsi="Minion Pro"/>
        </w:rPr>
        <w:t>we</w:t>
      </w:r>
      <w:proofErr w:type="gramEnd"/>
      <w:r w:rsidRPr="00117BAC">
        <w:rPr>
          <w:rFonts w:ascii="Minion Pro" w:hAnsi="Minion Pro"/>
        </w:rPr>
        <w:t xml:space="preserve"> are satisfied with our EAPs</w:t>
      </w:r>
      <w:r w:rsidR="00F55AC4">
        <w:rPr>
          <w:rFonts w:ascii="Minion Pro" w:hAnsi="Minion Pro"/>
        </w:rPr>
        <w:t>.</w:t>
      </w:r>
      <w:r w:rsidRPr="00117BAC">
        <w:rPr>
          <w:rFonts w:ascii="Minion Pro" w:hAnsi="Minion Pro"/>
        </w:rPr>
        <w:t xml:space="preserve"> (30 commenters)</w:t>
      </w:r>
    </w:p>
    <w:p w:rsidR="00AA0860" w:rsidRPr="00117BAC" w:rsidRDefault="00AA0860" w:rsidP="00AA0860">
      <w:pPr>
        <w:pStyle w:val="ListParagraph"/>
        <w:numPr>
          <w:ilvl w:val="0"/>
          <w:numId w:val="14"/>
        </w:numPr>
        <w:rPr>
          <w:rFonts w:ascii="Minion Pro" w:hAnsi="Minion Pro"/>
        </w:rPr>
      </w:pPr>
      <w:r w:rsidRPr="00117BAC">
        <w:rPr>
          <w:rFonts w:ascii="Minion Pro" w:hAnsi="Minion Pro"/>
        </w:rPr>
        <w:t>We are unsure of any other effective alternative to EAPs</w:t>
      </w:r>
      <w:r w:rsidR="00F55AC4">
        <w:rPr>
          <w:rFonts w:ascii="Minion Pro" w:hAnsi="Minion Pro"/>
        </w:rPr>
        <w:t>.</w:t>
      </w:r>
      <w:r w:rsidRPr="00117BAC">
        <w:rPr>
          <w:rFonts w:ascii="Minion Pro" w:hAnsi="Minion Pro"/>
        </w:rPr>
        <w:t xml:space="preserve"> (14 commenters)</w:t>
      </w:r>
    </w:p>
    <w:p w:rsidR="009D3441" w:rsidRPr="00117BAC" w:rsidRDefault="009D3441" w:rsidP="009D3441">
      <w:pPr>
        <w:pStyle w:val="ListParagraph"/>
        <w:numPr>
          <w:ilvl w:val="0"/>
          <w:numId w:val="14"/>
        </w:numPr>
        <w:rPr>
          <w:rFonts w:ascii="Minion Pro" w:hAnsi="Minion Pro"/>
        </w:rPr>
      </w:pPr>
      <w:r w:rsidRPr="00117BAC">
        <w:rPr>
          <w:rFonts w:ascii="Minion Pro" w:hAnsi="Minion Pro"/>
        </w:rPr>
        <w:t>EAPs are not necessary</w:t>
      </w:r>
      <w:r w:rsidR="00F55AC4">
        <w:rPr>
          <w:rFonts w:ascii="Minion Pro" w:hAnsi="Minion Pro"/>
        </w:rPr>
        <w:t>.</w:t>
      </w:r>
      <w:r w:rsidRPr="00117BAC">
        <w:rPr>
          <w:rFonts w:ascii="Minion Pro" w:hAnsi="Minion Pro"/>
        </w:rPr>
        <w:t xml:space="preserve"> (11 commenters)</w:t>
      </w:r>
    </w:p>
    <w:p w:rsidR="00117BAC" w:rsidRPr="00117BAC" w:rsidRDefault="00117BAC" w:rsidP="00117BAC">
      <w:pPr>
        <w:pStyle w:val="ListParagraph"/>
        <w:numPr>
          <w:ilvl w:val="0"/>
          <w:numId w:val="14"/>
        </w:numPr>
        <w:rPr>
          <w:rFonts w:ascii="Minion Pro" w:hAnsi="Minion Pro"/>
        </w:rPr>
      </w:pPr>
      <w:r w:rsidRPr="00117BAC">
        <w:rPr>
          <w:rFonts w:ascii="Minion Pro" w:hAnsi="Minion Pro"/>
        </w:rPr>
        <w:t xml:space="preserve">We should be </w:t>
      </w:r>
      <w:r w:rsidR="0014799F">
        <w:rPr>
          <w:rFonts w:ascii="Minion Pro" w:hAnsi="Minion Pro"/>
        </w:rPr>
        <w:t>allowed</w:t>
      </w:r>
      <w:r w:rsidRPr="00117BAC">
        <w:rPr>
          <w:rFonts w:ascii="Minion Pro" w:hAnsi="Minion Pro"/>
        </w:rPr>
        <w:t xml:space="preserve"> to use other alternatives to EAPs, so long as they are not mandated</w:t>
      </w:r>
      <w:r w:rsidR="00F55AC4">
        <w:rPr>
          <w:rFonts w:ascii="Minion Pro" w:hAnsi="Minion Pro"/>
        </w:rPr>
        <w:t>.</w:t>
      </w:r>
      <w:r w:rsidRPr="00117BAC">
        <w:rPr>
          <w:rFonts w:ascii="Minion Pro" w:hAnsi="Minion Pro"/>
        </w:rPr>
        <w:t xml:space="preserve"> (10 commenters)</w:t>
      </w:r>
    </w:p>
    <w:p w:rsidR="00117BAC" w:rsidRPr="00117BAC" w:rsidRDefault="00117BAC" w:rsidP="00117BAC">
      <w:pPr>
        <w:pStyle w:val="ListParagraph"/>
        <w:numPr>
          <w:ilvl w:val="0"/>
          <w:numId w:val="14"/>
        </w:numPr>
        <w:rPr>
          <w:rFonts w:ascii="Minion Pro" w:hAnsi="Minion Pro"/>
        </w:rPr>
      </w:pPr>
      <w:r w:rsidRPr="00117BAC">
        <w:rPr>
          <w:rFonts w:ascii="Minion Pro" w:hAnsi="Minion Pro"/>
        </w:rPr>
        <w:t>Employees, not employers, should be responsible for treatment of their own problems</w:t>
      </w:r>
      <w:r w:rsidR="00F55AC4">
        <w:rPr>
          <w:rFonts w:ascii="Minion Pro" w:hAnsi="Minion Pro"/>
        </w:rPr>
        <w:t>.</w:t>
      </w:r>
      <w:r w:rsidRPr="00117BAC">
        <w:rPr>
          <w:rFonts w:ascii="Minion Pro" w:hAnsi="Minion Pro"/>
        </w:rPr>
        <w:t xml:space="preserve"> (6 commenters)</w:t>
      </w:r>
    </w:p>
    <w:p w:rsidR="00AA0860" w:rsidRPr="00117BAC" w:rsidRDefault="00AA0860" w:rsidP="00AA0860">
      <w:pPr>
        <w:pStyle w:val="ListParagraph"/>
        <w:numPr>
          <w:ilvl w:val="0"/>
          <w:numId w:val="14"/>
        </w:numPr>
        <w:rPr>
          <w:rFonts w:ascii="Minion Pro" w:hAnsi="Minion Pro"/>
        </w:rPr>
      </w:pPr>
      <w:r w:rsidRPr="00117BAC">
        <w:rPr>
          <w:rFonts w:ascii="Minion Pro" w:hAnsi="Minion Pro"/>
        </w:rPr>
        <w:t xml:space="preserve">Employees </w:t>
      </w:r>
      <w:r>
        <w:rPr>
          <w:rFonts w:ascii="Minion Pro" w:hAnsi="Minion Pro"/>
        </w:rPr>
        <w:t xml:space="preserve">do </w:t>
      </w:r>
      <w:r w:rsidRPr="00117BAC">
        <w:rPr>
          <w:rFonts w:ascii="Minion Pro" w:hAnsi="Minion Pro"/>
        </w:rPr>
        <w:t>need</w:t>
      </w:r>
      <w:r>
        <w:rPr>
          <w:rFonts w:ascii="Minion Pro" w:hAnsi="Minion Pro"/>
        </w:rPr>
        <w:t xml:space="preserve"> to have</w:t>
      </w:r>
      <w:r w:rsidRPr="00117BAC">
        <w:rPr>
          <w:rFonts w:ascii="Minion Pro" w:hAnsi="Minion Pro"/>
        </w:rPr>
        <w:t xml:space="preserve"> regular substance abuse-related education and training programs</w:t>
      </w:r>
      <w:r w:rsidR="00F55AC4">
        <w:rPr>
          <w:rFonts w:ascii="Minion Pro" w:hAnsi="Minion Pro"/>
        </w:rPr>
        <w:t>.</w:t>
      </w:r>
      <w:r w:rsidRPr="00117BAC">
        <w:rPr>
          <w:rFonts w:ascii="Minion Pro" w:hAnsi="Minion Pro"/>
        </w:rPr>
        <w:t xml:space="preserve"> (5 commen</w:t>
      </w:r>
      <w:r w:rsidRPr="00117BAC">
        <w:rPr>
          <w:rFonts w:ascii="Minion Pro" w:hAnsi="Minion Pro"/>
        </w:rPr>
        <w:t>t</w:t>
      </w:r>
      <w:r w:rsidRPr="00117BAC">
        <w:rPr>
          <w:rFonts w:ascii="Minion Pro" w:hAnsi="Minion Pro"/>
        </w:rPr>
        <w:t>ers)</w:t>
      </w:r>
    </w:p>
    <w:p w:rsidR="00AA0860" w:rsidRDefault="00AA0860" w:rsidP="00AA0860">
      <w:pPr>
        <w:pStyle w:val="ListParagraph"/>
        <w:numPr>
          <w:ilvl w:val="0"/>
          <w:numId w:val="14"/>
        </w:numPr>
        <w:rPr>
          <w:rFonts w:ascii="Minion Pro" w:hAnsi="Minion Pro"/>
        </w:rPr>
      </w:pPr>
      <w:r w:rsidRPr="00117BAC">
        <w:rPr>
          <w:rFonts w:ascii="Minion Pro" w:hAnsi="Minion Pro"/>
        </w:rPr>
        <w:t>EAPS are too expensive, unaffordable</w:t>
      </w:r>
      <w:r w:rsidR="00F55AC4">
        <w:rPr>
          <w:rFonts w:ascii="Minion Pro" w:hAnsi="Minion Pro"/>
        </w:rPr>
        <w:t>.</w:t>
      </w:r>
      <w:r w:rsidRPr="00117BAC">
        <w:rPr>
          <w:rFonts w:ascii="Minion Pro" w:hAnsi="Minion Pro"/>
        </w:rPr>
        <w:t xml:space="preserve"> (5 commenters)</w:t>
      </w:r>
    </w:p>
    <w:p w:rsidR="00AA0860" w:rsidRPr="00117BAC" w:rsidRDefault="00AA0860" w:rsidP="00AA0860">
      <w:pPr>
        <w:pStyle w:val="ListParagraph"/>
        <w:numPr>
          <w:ilvl w:val="0"/>
          <w:numId w:val="14"/>
        </w:numPr>
        <w:rPr>
          <w:rFonts w:ascii="Minion Pro" w:hAnsi="Minion Pro"/>
        </w:rPr>
      </w:pPr>
      <w:r w:rsidRPr="00117BAC">
        <w:rPr>
          <w:rFonts w:ascii="Minion Pro" w:hAnsi="Minion Pro"/>
        </w:rPr>
        <w:t xml:space="preserve">The State </w:t>
      </w:r>
      <w:r>
        <w:rPr>
          <w:rFonts w:ascii="Minion Pro" w:hAnsi="Minion Pro"/>
        </w:rPr>
        <w:t xml:space="preserve">of Maine </w:t>
      </w:r>
      <w:r w:rsidRPr="00117BAC">
        <w:rPr>
          <w:rFonts w:ascii="Minion Pro" w:hAnsi="Minion Pro"/>
        </w:rPr>
        <w:t>should provide these services for free</w:t>
      </w:r>
      <w:r w:rsidR="00F55AC4">
        <w:rPr>
          <w:rFonts w:ascii="Minion Pro" w:hAnsi="Minion Pro"/>
        </w:rPr>
        <w:t>.</w:t>
      </w:r>
      <w:r w:rsidRPr="00117BAC">
        <w:rPr>
          <w:rFonts w:ascii="Minion Pro" w:hAnsi="Minion Pro"/>
        </w:rPr>
        <w:t xml:space="preserve"> (3 commenters)</w:t>
      </w:r>
    </w:p>
    <w:p w:rsidR="00AA0860" w:rsidRPr="00117BAC" w:rsidRDefault="00AA0860" w:rsidP="00AA0860">
      <w:pPr>
        <w:pStyle w:val="ListParagraph"/>
        <w:rPr>
          <w:rFonts w:ascii="Minion Pro" w:hAnsi="Minion Pro"/>
        </w:rPr>
      </w:pPr>
    </w:p>
    <w:p w:rsidR="00DE6CD1" w:rsidRDefault="00DE6CD1" w:rsidP="00DE6CD1">
      <w:pPr>
        <w:jc w:val="both"/>
        <w:rPr>
          <w:b/>
          <w:sz w:val="28"/>
          <w:szCs w:val="28"/>
          <w:u w:val="single"/>
        </w:rPr>
      </w:pPr>
    </w:p>
    <w:p w:rsidR="00CC0733" w:rsidRPr="003A19A2" w:rsidRDefault="00CC0733" w:rsidP="00CC0733"/>
    <w:p w:rsidR="00DE6CD1" w:rsidRDefault="00DE6CD1">
      <w:pPr>
        <w:spacing w:after="0"/>
        <w:rPr>
          <w:rFonts w:ascii="Tw Cen MT Condensed" w:hAnsi="Tw Cen MT Condensed" w:cs="Arial"/>
          <w:iCs/>
          <w:kern w:val="32"/>
          <w:sz w:val="36"/>
          <w:szCs w:val="28"/>
        </w:rPr>
      </w:pPr>
      <w:r>
        <w:br w:type="page"/>
      </w:r>
    </w:p>
    <w:p w:rsidR="00CC0733" w:rsidRPr="00193686" w:rsidRDefault="00CC0733" w:rsidP="00E509C5">
      <w:pPr>
        <w:pStyle w:val="Heading2"/>
      </w:pPr>
      <w:r w:rsidRPr="00193686">
        <w:lastRenderedPageBreak/>
        <w:t xml:space="preserve">Rehab </w:t>
      </w:r>
      <w:r>
        <w:t>Expenses</w:t>
      </w:r>
    </w:p>
    <w:p w:rsidR="00DE6CD1" w:rsidRDefault="00DE6CD1" w:rsidP="00CC0733">
      <w:pPr>
        <w:rPr>
          <w:b/>
          <w:sz w:val="28"/>
          <w:szCs w:val="28"/>
          <w:u w:val="single"/>
        </w:rPr>
      </w:pP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Under Maine's drug testing law, the first time an employee tests positive, that employee must be offered an opportunity for six months of rehabilitation, and, if the employer has more than 20 employees, that employer is required to pay half of those rehabilitation expenses beyond what is covered by health insu</w:t>
      </w:r>
      <w:r w:rsidRPr="00026B42">
        <w:t>r</w:t>
      </w:r>
      <w:r w:rsidRPr="00026B42">
        <w:t>ance.</w:t>
      </w:r>
    </w:p>
    <w:p w:rsidR="00CC0733" w:rsidRPr="00026B42" w:rsidRDefault="00CC0733" w:rsidP="00CC0733">
      <w:r w:rsidRPr="00026B42">
        <w:t xml:space="preserve">Some have suggested that having to automatically offer rehab and pay half of </w:t>
      </w:r>
      <w:r w:rsidR="005A48D7">
        <w:t xml:space="preserve">the uncovered </w:t>
      </w:r>
      <w:r w:rsidRPr="00026B42">
        <w:t>rehabilitation cost after a first-time positive test can be overly burdensome and costly for employers, especially smaller businesses.  As such, they provide a barrier or disincentive for employers that wish to conduct employee drug testing.</w:t>
      </w:r>
    </w:p>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CC0733" w:rsidRDefault="00CC0733" w:rsidP="00CC0733">
      <w:r w:rsidRPr="00026B42">
        <w:t>Only ten percent of th</w:t>
      </w:r>
      <w:r>
        <w:t>e employers</w:t>
      </w:r>
      <w:r w:rsidRPr="00026B42">
        <w:t xml:space="preserve"> who responded </w:t>
      </w:r>
      <w:r>
        <w:t>said</w:t>
      </w:r>
      <w:r w:rsidRPr="00026B42">
        <w:t xml:space="preserve"> they have had employees go through rehab for substance abuse</w:t>
      </w:r>
      <w:r>
        <w:t>.  Most</w:t>
      </w:r>
      <w:r w:rsidRPr="00026B42">
        <w:t xml:space="preserve"> </w:t>
      </w:r>
      <w:r w:rsidR="005A48D7">
        <w:t xml:space="preserve">of them </w:t>
      </w:r>
      <w:r w:rsidRPr="00026B42">
        <w:t>have had between two and five people in rehab programs with mixed su</w:t>
      </w:r>
      <w:r w:rsidRPr="00026B42">
        <w:t>c</w:t>
      </w:r>
      <w:r w:rsidRPr="00026B42">
        <w:t xml:space="preserve">cess.  Less than half indicated </w:t>
      </w:r>
      <w:r>
        <w:t xml:space="preserve">that </w:t>
      </w:r>
      <w:r w:rsidRPr="00026B42">
        <w:t xml:space="preserve">they </w:t>
      </w:r>
      <w:r>
        <w:t>at some time</w:t>
      </w:r>
      <w:r w:rsidRPr="00026B42">
        <w:t xml:space="preserve"> had to pay costs beyond what was covered by health care insurance.  </w:t>
      </w:r>
    </w:p>
    <w:p w:rsidR="0065258B" w:rsidRDefault="0065258B" w:rsidP="0056033E">
      <w:pPr>
        <w:rPr>
          <w:b/>
          <w:bCs/>
        </w:rPr>
      </w:pPr>
    </w:p>
    <w:p w:rsidR="0056033E" w:rsidRDefault="0056033E" w:rsidP="0056033E">
      <w:pPr>
        <w:rPr>
          <w:b/>
          <w:bCs/>
        </w:rPr>
      </w:pPr>
      <w:r>
        <w:rPr>
          <w:b/>
          <w:bCs/>
        </w:rPr>
        <w:t xml:space="preserve">Q.  </w:t>
      </w:r>
      <w:r w:rsidRPr="0056033E">
        <w:rPr>
          <w:b/>
          <w:bCs/>
        </w:rPr>
        <w:t>Has any employee in your organization opted to enter a six-month rehab program as a result of a positive drug test or other disclosure of substance abuse?</w:t>
      </w:r>
    </w:p>
    <w:p w:rsidR="0065258B" w:rsidRPr="0056033E" w:rsidRDefault="0065258B" w:rsidP="0056033E"/>
    <w:p w:rsidR="0056033E" w:rsidRDefault="0056033E" w:rsidP="0056033E">
      <w:pPr>
        <w:jc w:val="center"/>
      </w:pPr>
      <w:r>
        <w:rPr>
          <w:noProof/>
        </w:rPr>
        <w:drawing>
          <wp:inline distT="0" distB="0" distL="0" distR="0" wp14:anchorId="3373B3AB" wp14:editId="78C084EE">
            <wp:extent cx="4572000" cy="2532184"/>
            <wp:effectExtent l="0" t="0" r="0" b="19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6033E" w:rsidRPr="0056033E" w:rsidRDefault="0056033E" w:rsidP="0056033E">
      <w:r>
        <w:rPr>
          <w:b/>
          <w:bCs/>
        </w:rPr>
        <w:lastRenderedPageBreak/>
        <w:t xml:space="preserve">Q.  </w:t>
      </w:r>
      <w:r w:rsidRPr="0056033E">
        <w:rPr>
          <w:b/>
          <w:bCs/>
        </w:rPr>
        <w:t>How many employees in your organization have entered a six-month substance abuse rehab pr</w:t>
      </w:r>
      <w:r w:rsidRPr="0056033E">
        <w:rPr>
          <w:b/>
          <w:bCs/>
        </w:rPr>
        <w:t>o</w:t>
      </w:r>
      <w:r w:rsidRPr="0056033E">
        <w:rPr>
          <w:b/>
          <w:bCs/>
        </w:rPr>
        <w:t>gram?</w:t>
      </w:r>
    </w:p>
    <w:p w:rsidR="0056033E" w:rsidRDefault="0056033E" w:rsidP="0056033E">
      <w:pPr>
        <w:jc w:val="center"/>
      </w:pPr>
      <w:r>
        <w:rPr>
          <w:noProof/>
        </w:rPr>
        <w:drawing>
          <wp:inline distT="0" distB="0" distL="0" distR="0" wp14:anchorId="0CB88830" wp14:editId="1E4D584E">
            <wp:extent cx="4572000" cy="2447779"/>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6033E" w:rsidRDefault="0056033E" w:rsidP="0056033E">
      <w:pPr>
        <w:rPr>
          <w:b/>
          <w:bCs/>
        </w:rPr>
      </w:pPr>
    </w:p>
    <w:p w:rsidR="0056033E" w:rsidRDefault="0056033E" w:rsidP="0056033E">
      <w:pPr>
        <w:rPr>
          <w:b/>
          <w:bCs/>
        </w:rPr>
      </w:pPr>
    </w:p>
    <w:p w:rsidR="0056033E" w:rsidRPr="0056033E" w:rsidRDefault="0056033E" w:rsidP="0056033E">
      <w:r>
        <w:rPr>
          <w:b/>
          <w:bCs/>
        </w:rPr>
        <w:t xml:space="preserve">Q.  </w:t>
      </w:r>
      <w:r w:rsidRPr="0056033E">
        <w:rPr>
          <w:b/>
          <w:bCs/>
        </w:rPr>
        <w:t>Was the six-month rehab program successful?</w:t>
      </w:r>
    </w:p>
    <w:p w:rsidR="0056033E" w:rsidRDefault="0056033E" w:rsidP="0056033E">
      <w:pPr>
        <w:jc w:val="center"/>
      </w:pPr>
      <w:r>
        <w:rPr>
          <w:noProof/>
        </w:rPr>
        <w:drawing>
          <wp:inline distT="0" distB="0" distL="0" distR="0" wp14:anchorId="18416B06" wp14:editId="20B391FC">
            <wp:extent cx="4572000" cy="3334043"/>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C0733" w:rsidRDefault="00CC0733" w:rsidP="00CC0733">
      <w:pPr>
        <w:jc w:val="center"/>
      </w:pPr>
    </w:p>
    <w:p w:rsidR="003753CF" w:rsidRDefault="003753CF">
      <w:pPr>
        <w:spacing w:after="0"/>
        <w:rPr>
          <w:b/>
          <w:bCs/>
        </w:rPr>
      </w:pPr>
      <w:r>
        <w:rPr>
          <w:b/>
          <w:bCs/>
        </w:rPr>
        <w:br w:type="page"/>
      </w:r>
    </w:p>
    <w:p w:rsidR="003753CF" w:rsidRDefault="0056033E" w:rsidP="003753CF">
      <w:pPr>
        <w:rPr>
          <w:b/>
          <w:bCs/>
        </w:rPr>
      </w:pPr>
      <w:r>
        <w:rPr>
          <w:b/>
          <w:bCs/>
        </w:rPr>
        <w:lastRenderedPageBreak/>
        <w:t xml:space="preserve">Q.  </w:t>
      </w:r>
      <w:r w:rsidRPr="0056033E">
        <w:rPr>
          <w:b/>
          <w:bCs/>
        </w:rPr>
        <w:t>What is the most your company has paid for any employee's drug rehab above and beyond the co</w:t>
      </w:r>
      <w:r w:rsidRPr="0056033E">
        <w:rPr>
          <w:b/>
          <w:bCs/>
        </w:rPr>
        <w:t>v</w:t>
      </w:r>
      <w:r w:rsidRPr="0056033E">
        <w:rPr>
          <w:b/>
          <w:bCs/>
        </w:rPr>
        <w:t>ered costs?</w:t>
      </w:r>
    </w:p>
    <w:p w:rsidR="00CC0733" w:rsidRDefault="00CC0733" w:rsidP="003753CF">
      <w:pPr>
        <w:jc w:val="center"/>
      </w:pPr>
      <w:r>
        <w:rPr>
          <w:noProof/>
        </w:rPr>
        <w:drawing>
          <wp:inline distT="0" distB="0" distL="0" distR="0" wp14:anchorId="23F42AFE" wp14:editId="69221FD2">
            <wp:extent cx="4572000" cy="32099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753CF" w:rsidRDefault="003753CF" w:rsidP="00CC0733"/>
    <w:p w:rsidR="003753CF" w:rsidRPr="00DE6CD1" w:rsidRDefault="00DE6CD1" w:rsidP="00CC0733">
      <w:pPr>
        <w:rPr>
          <w:b/>
          <w:sz w:val="28"/>
          <w:szCs w:val="28"/>
          <w:u w:val="single"/>
        </w:rPr>
      </w:pPr>
      <w:r w:rsidRPr="00DE6CD1">
        <w:rPr>
          <w:b/>
          <w:sz w:val="28"/>
          <w:szCs w:val="28"/>
          <w:u w:val="single"/>
        </w:rPr>
        <w:t>Comments</w:t>
      </w:r>
    </w:p>
    <w:p w:rsidR="00CC0733" w:rsidRDefault="00CC0733" w:rsidP="00CC0733">
      <w:r w:rsidRPr="00026B42">
        <w:t>Most of the</w:t>
      </w:r>
      <w:r>
        <w:t xml:space="preserve"> written</w:t>
      </w:r>
      <w:r w:rsidRPr="00026B42">
        <w:t xml:space="preserve"> comments strongly objected to businesses being required to pay for, or share, the cost of employee rehab above what is covered by insurance. </w:t>
      </w:r>
      <w:r>
        <w:t xml:space="preserve"> More</w:t>
      </w:r>
      <w:r w:rsidRPr="00026B42">
        <w:t xml:space="preserve"> </w:t>
      </w:r>
      <w:r>
        <w:t xml:space="preserve">employers </w:t>
      </w:r>
      <w:r w:rsidRPr="00026B42">
        <w:t xml:space="preserve">objected to those costs than </w:t>
      </w:r>
      <w:r>
        <w:t xml:space="preserve">the number who </w:t>
      </w:r>
      <w:r w:rsidRPr="00026B42">
        <w:t xml:space="preserve">actually </w:t>
      </w:r>
      <w:r>
        <w:t>had to pay</w:t>
      </w:r>
      <w:r w:rsidRPr="00026B42">
        <w:t xml:space="preserve"> </w:t>
      </w:r>
      <w:r>
        <w:t>them.  The argument is generally</w:t>
      </w:r>
      <w:r w:rsidRPr="00026B42">
        <w:t xml:space="preserve"> that employers should not have to pay rehab costs for a substance abuse problem that they did not create</w:t>
      </w:r>
      <w:r>
        <w:t>;</w:t>
      </w:r>
      <w:r w:rsidRPr="00026B42">
        <w:t xml:space="preserve"> that responsibility should be squarely on the employee.</w:t>
      </w:r>
    </w:p>
    <w:p w:rsidR="00CC0733" w:rsidRDefault="00CC0733" w:rsidP="00CC0733">
      <w:r>
        <w:br w:type="page"/>
      </w:r>
    </w:p>
    <w:p w:rsidR="00CC0733" w:rsidRPr="00BE0519" w:rsidRDefault="00CC0733" w:rsidP="00CC0733">
      <w:pPr>
        <w:rPr>
          <w:sz w:val="22"/>
          <w:szCs w:val="22"/>
        </w:rPr>
      </w:pPr>
    </w:p>
    <w:p w:rsidR="00CC0733" w:rsidRPr="00193686" w:rsidRDefault="00CC0733" w:rsidP="00E509C5">
      <w:pPr>
        <w:pStyle w:val="Heading2"/>
      </w:pPr>
      <w:r w:rsidRPr="00193686">
        <w:t>Federal/Non</w:t>
      </w:r>
      <w:r>
        <w:t>-F</w:t>
      </w:r>
      <w:r w:rsidRPr="00193686">
        <w:t xml:space="preserve">ederal </w:t>
      </w:r>
      <w:r>
        <w:t xml:space="preserve">Employee </w:t>
      </w:r>
      <w:r w:rsidRPr="00193686">
        <w:t>Testing</w:t>
      </w: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 xml:space="preserve">In 2011, the 125th Maine Legislature amended the drug testing law </w:t>
      </w:r>
      <w:r>
        <w:t>regarding</w:t>
      </w:r>
      <w:r w:rsidRPr="00026B42">
        <w:t xml:space="preserve"> employers subject to federal drug testing regulations.  As amended, Section 281</w:t>
      </w:r>
      <w:r>
        <w:t>,</w:t>
      </w:r>
      <w:r w:rsidRPr="00026B42">
        <w:t xml:space="preserve"> Subsection 8 paragraph c. of the law now states:</w:t>
      </w:r>
    </w:p>
    <w:p w:rsidR="00CC0733" w:rsidRPr="00B50ED2" w:rsidRDefault="00CC0733" w:rsidP="00CC0733">
      <w:pPr>
        <w:ind w:left="720"/>
        <w:rPr>
          <w:i/>
        </w:rPr>
      </w:pPr>
      <w:r w:rsidRPr="00B50ED2">
        <w:rPr>
          <w:i/>
        </w:rPr>
        <w:t>“This subchapter does not apply to any employer subject to a federally mandated drug and alcohol testing program, including, but not limited to, testing mandated by the federal Omnibus Transport</w:t>
      </w:r>
      <w:r w:rsidRPr="00B50ED2">
        <w:rPr>
          <w:i/>
        </w:rPr>
        <w:t>a</w:t>
      </w:r>
      <w:r w:rsidRPr="00B50ED2">
        <w:rPr>
          <w:i/>
        </w:rPr>
        <w:t>tion Employee Testing Act of 1991, Public Law 102-143, Title V, and its employees, including ind</w:t>
      </w:r>
      <w:r w:rsidRPr="00B50ED2">
        <w:rPr>
          <w:i/>
        </w:rPr>
        <w:t>e</w:t>
      </w:r>
      <w:r w:rsidRPr="00B50ED2">
        <w:rPr>
          <w:i/>
        </w:rPr>
        <w:t>pendent contractors and employees of independent contractors who are working for or at the facil</w:t>
      </w:r>
      <w:r w:rsidRPr="00B50ED2">
        <w:rPr>
          <w:i/>
        </w:rPr>
        <w:t>i</w:t>
      </w:r>
      <w:r w:rsidRPr="00B50ED2">
        <w:rPr>
          <w:i/>
        </w:rPr>
        <w:t>ties of an employer who is subject to such a federally mandated drug and alcohol testing program.”</w:t>
      </w:r>
    </w:p>
    <w:p w:rsidR="00CC0733" w:rsidRDefault="00CC0733" w:rsidP="00CC0733">
      <w:r w:rsidRPr="00026B42">
        <w:t xml:space="preserve">Because of </w:t>
      </w:r>
      <w:r>
        <w:t>how</w:t>
      </w:r>
      <w:r w:rsidRPr="00026B42">
        <w:t xml:space="preserve"> this paragraph is written, and because the federal drug testing law is based on the qualif</w:t>
      </w:r>
      <w:r w:rsidRPr="00026B42">
        <w:t>i</w:t>
      </w:r>
      <w:r w:rsidRPr="00026B42">
        <w:t>cations of employees rather than the status of employers, BLS has received numerous inquiries from e</w:t>
      </w:r>
      <w:r w:rsidRPr="00026B42">
        <w:t>m</w:t>
      </w:r>
      <w:r w:rsidRPr="00026B42">
        <w:t>ployers and others</w:t>
      </w:r>
      <w:r>
        <w:t xml:space="preserve"> about this provision of the law.  </w:t>
      </w:r>
    </w:p>
    <w:p w:rsidR="00CC0733" w:rsidRDefault="00CC0733" w:rsidP="00CC0733">
      <w:r>
        <w:t>Most are</w:t>
      </w:r>
      <w:r w:rsidRPr="00026B42">
        <w:t xml:space="preserve"> confused or have differing opinions about what the paragraph means and how to apply it to their particular situations.  </w:t>
      </w:r>
      <w:r>
        <w:t>Some think</w:t>
      </w:r>
      <w:r w:rsidRPr="00026B42">
        <w:t xml:space="preserve"> it means that if an employer is subject to the requirements of federal drug-testing laws, it can be exempt from the Maine law if it applies the federal drug testing procedures to its non-federally regulated employees.  Others believe it means that if an employer has even one employee or contractor in its workforce who is subject to federal drug-testing requirements, that employer can do any kind of drug testing and impose any kind of consequences upon its non-federally regulated employees and be subject to neither the federal law no</w:t>
      </w:r>
      <w:r>
        <w:t xml:space="preserve">r the Maine drug testing law.  </w:t>
      </w:r>
    </w:p>
    <w:p w:rsidR="00CC0733" w:rsidRPr="00026B42" w:rsidRDefault="00CC0733" w:rsidP="00CC0733"/>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CC0733" w:rsidRPr="00026B42" w:rsidRDefault="00CC0733" w:rsidP="00CC0733">
      <w:r w:rsidRPr="00026B42">
        <w:t xml:space="preserve">About 42 percent of the </w:t>
      </w:r>
      <w:r>
        <w:t xml:space="preserve">survey </w:t>
      </w:r>
      <w:r w:rsidR="00B74879">
        <w:t>participant</w:t>
      </w:r>
      <w:r w:rsidRPr="00026B42">
        <w:t>s are involved with federally-require</w:t>
      </w:r>
      <w:r w:rsidR="00F55AC4">
        <w:t>d</w:t>
      </w:r>
      <w:r w:rsidRPr="00026B42">
        <w:t xml:space="preserve"> drug testing.  About half of th</w:t>
      </w:r>
      <w:r>
        <w:t>e employers</w:t>
      </w:r>
      <w:r w:rsidRPr="00026B42">
        <w:t xml:space="preserve"> who </w:t>
      </w:r>
      <w:r>
        <w:t>conduct</w:t>
      </w:r>
      <w:r w:rsidRPr="00026B42">
        <w:t xml:space="preserve"> drug testing for federally regulated employees also </w:t>
      </w:r>
      <w:r>
        <w:t>conduct</w:t>
      </w:r>
      <w:r w:rsidRPr="00026B42">
        <w:t xml:space="preserve"> drug testing of non-federally regulated employees.</w:t>
      </w:r>
    </w:p>
    <w:p w:rsidR="00CC0733" w:rsidRPr="00026B42" w:rsidRDefault="00CC0733" w:rsidP="00CC0733">
      <w:r w:rsidRPr="00026B42">
        <w:t xml:space="preserve">When asked </w:t>
      </w:r>
      <w:r>
        <w:t>for</w:t>
      </w:r>
      <w:r w:rsidRPr="00026B42">
        <w:t xml:space="preserve"> preferences</w:t>
      </w:r>
      <w:r>
        <w:t>,</w:t>
      </w:r>
      <w:r w:rsidRPr="00026B42">
        <w:t xml:space="preserve"> </w:t>
      </w:r>
      <w:r>
        <w:t>almost</w:t>
      </w:r>
      <w:r w:rsidRPr="00026B42">
        <w:t xml:space="preserve"> half (4</w:t>
      </w:r>
      <w:r>
        <w:t>1</w:t>
      </w:r>
      <w:r w:rsidRPr="00026B42">
        <w:t xml:space="preserve">%) of the </w:t>
      </w:r>
      <w:r w:rsidR="00B74879">
        <w:t>participant</w:t>
      </w:r>
      <w:r w:rsidRPr="00026B42">
        <w:t xml:space="preserve">s indicated they would continue to follow their Maine </w:t>
      </w:r>
      <w:r w:rsidR="00F55AC4">
        <w:t>approved policy for testing non-</w:t>
      </w:r>
      <w:r w:rsidRPr="00026B42">
        <w:t>federally regulated employees and a little more than half</w:t>
      </w:r>
      <w:r>
        <w:t xml:space="preserve"> (52%)</w:t>
      </w:r>
      <w:r w:rsidRPr="00026B42">
        <w:t xml:space="preserve"> would prefer to extend their federal drug testing activities to their non-federally regulated emplo</w:t>
      </w:r>
      <w:r w:rsidRPr="00026B42">
        <w:t>y</w:t>
      </w:r>
      <w:r w:rsidRPr="00026B42">
        <w:t>ees.  A smaller number (7</w:t>
      </w:r>
      <w:r>
        <w:t>%) indicated</w:t>
      </w:r>
      <w:r w:rsidRPr="00026B42">
        <w:t xml:space="preserve"> that they would not abide by federal or state substance abuse tes</w:t>
      </w:r>
      <w:r w:rsidRPr="00026B42">
        <w:t>t</w:t>
      </w:r>
      <w:r w:rsidRPr="00026B42">
        <w:t>ing procedures with their non-federally regulated employees.</w:t>
      </w:r>
    </w:p>
    <w:p w:rsidR="00500226" w:rsidRPr="00A82223" w:rsidRDefault="00CC0733" w:rsidP="00A82223">
      <w:r>
        <w:t>Thirty</w:t>
      </w:r>
      <w:r w:rsidRPr="00026B42">
        <w:t xml:space="preserve"> percent of the </w:t>
      </w:r>
      <w:r w:rsidR="00B74879">
        <w:t>participant</w:t>
      </w:r>
      <w:r>
        <w:t>s</w:t>
      </w:r>
      <w:r w:rsidRPr="00026B42">
        <w:t xml:space="preserve"> who test federally regulated and non-federally regulated employees</w:t>
      </w:r>
      <w:r>
        <w:t xml:space="preserve"> said they</w:t>
      </w:r>
      <w:r w:rsidRPr="00026B42">
        <w:t xml:space="preserve"> do not report their testing of non-federally regulated employees to the State of Maine.</w:t>
      </w:r>
    </w:p>
    <w:p w:rsidR="00500226" w:rsidRPr="00500226" w:rsidRDefault="00500226" w:rsidP="00500226">
      <w:r>
        <w:rPr>
          <w:b/>
          <w:bCs/>
        </w:rPr>
        <w:lastRenderedPageBreak/>
        <w:t xml:space="preserve">Q.  </w:t>
      </w:r>
      <w:r w:rsidRPr="00500226">
        <w:rPr>
          <w:b/>
          <w:bCs/>
        </w:rPr>
        <w:t>Do you have employees subject to federal drug-testing requirements</w:t>
      </w:r>
      <w:r>
        <w:rPr>
          <w:b/>
          <w:bCs/>
        </w:rPr>
        <w:t xml:space="preserve"> and, if so, do you also test your non-federally regulated employees for substance abuse?</w:t>
      </w:r>
    </w:p>
    <w:p w:rsidR="009B680E" w:rsidRDefault="00F55AC4" w:rsidP="0014799F">
      <w:pPr>
        <w:jc w:val="center"/>
      </w:pPr>
      <w:r>
        <w:rPr>
          <w:noProof/>
        </w:rPr>
        <w:drawing>
          <wp:inline distT="0" distB="0" distL="0" distR="0" wp14:anchorId="4A94CEBE" wp14:editId="49CC35FA">
            <wp:extent cx="5583936" cy="3462528"/>
            <wp:effectExtent l="0" t="0" r="0" b="508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B680E" w:rsidRDefault="009B680E" w:rsidP="009B680E">
      <w:r>
        <w:rPr>
          <w:b/>
          <w:bCs/>
        </w:rPr>
        <w:t xml:space="preserve">Q. </w:t>
      </w:r>
      <w:r w:rsidRPr="009B680E">
        <w:rPr>
          <w:b/>
          <w:bCs/>
        </w:rPr>
        <w:t>Which statement(s) describes your preference for drug-testing federally regulated and non-federally regulated employees?</w:t>
      </w:r>
    </w:p>
    <w:p w:rsidR="00CC0733" w:rsidRDefault="007B239A" w:rsidP="00CC0733">
      <w:pPr>
        <w:jc w:val="center"/>
      </w:pPr>
      <w:r>
        <w:rPr>
          <w:noProof/>
        </w:rPr>
        <mc:AlternateContent>
          <mc:Choice Requires="wps">
            <w:drawing>
              <wp:anchor distT="0" distB="0" distL="114300" distR="114300" simplePos="0" relativeHeight="251661312" behindDoc="0" locked="0" layoutInCell="1" allowOverlap="1" wp14:anchorId="63ECF1E7" wp14:editId="14091924">
                <wp:simplePos x="0" y="0"/>
                <wp:positionH relativeFrom="column">
                  <wp:posOffset>3595589</wp:posOffset>
                </wp:positionH>
                <wp:positionV relativeFrom="paragraph">
                  <wp:posOffset>2800875</wp:posOffset>
                </wp:positionV>
                <wp:extent cx="1271752" cy="294289"/>
                <wp:effectExtent l="0" t="0" r="508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752" cy="294289"/>
                        </a:xfrm>
                        <a:prstGeom prst="rect">
                          <a:avLst/>
                        </a:prstGeom>
                        <a:solidFill>
                          <a:srgbClr val="FFFFFF"/>
                        </a:solidFill>
                        <a:ln w="9525">
                          <a:noFill/>
                          <a:miter lim="800000"/>
                          <a:headEnd/>
                          <a:tailEnd/>
                        </a:ln>
                      </wps:spPr>
                      <wps:txbx>
                        <w:txbxContent>
                          <w:p w:rsidR="002C1B06" w:rsidRPr="007B239A" w:rsidRDefault="002C1B06">
                            <w:pPr>
                              <w:rPr>
                                <w:rFonts w:asciiTheme="minorHAnsi" w:hAnsiTheme="minorHAnsi"/>
                              </w:rPr>
                            </w:pPr>
                            <w:r>
                              <w:rPr>
                                <w:rFonts w:asciiTheme="minorHAnsi" w:hAnsiTheme="minorHAnsi"/>
                              </w:rPr>
                              <w:t>(</w:t>
                            </w:r>
                            <w:r w:rsidRPr="007B239A">
                              <w:rPr>
                                <w:rFonts w:asciiTheme="minorHAnsi" w:hAnsiTheme="minorHAnsi"/>
                              </w:rPr>
                              <w:t>By Percentage</w:t>
                            </w:r>
                            <w:r>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3.1pt;margin-top:220.55pt;width:100.1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DmIgIAACMEAAAOAAAAZHJzL2Uyb0RvYy54bWysU9tu2zAMfR+wfxD0vjgxkqUx4hRdugwD&#10;ugvQ7gNoWY6FSaInKbGzrx8lp2m2vQ3zgyCa5OHhIbW+HYxmR+m8Qlvy2WTKmbQCa2X3Jf/2tHtz&#10;w5kPYGvQaGXJT9Lz283rV+u+K2SOLepaOkYg1hd9V/I2hK7IMi9aacBPsJOWnA06A4FMt89qBz2h&#10;G53l0+nbrEdXdw6F9J7+3o9Ovkn4TSNF+NI0XgamS07cQjpdOqt4Zps1FHsHXavEmQb8AwsDylLR&#10;C9Q9BGAHp/6CMko49NiEiUCTYdMoIVMP1M1s+kc3jy10MvVC4vjuIpP/f7Di8/GrY6oueb7kzIKh&#10;GT3JIbB3OLA8ytN3vqCox47iwkC/acypVd89oPjumcVtC3Yv75zDvpVQE71ZzMyuUkccH0Gq/hPW&#10;VAYOARPQ0DgTtSM1GKHTmE6X0UQqIpbMl7PlIudMkC9fzfObVSoBxXN253z4INGweCm5o9EndDg+&#10;+BDZQPEcEot51KreKa2T4fbVVjt2BFqTXfrO6L+Facv6kq8W+SIhW4z5aYOMCrTGWpmS30zjF9Oh&#10;iGq8t3W6B1B6vBMTbc/yREVGbcJQDWkQSbsoXYX1ifRyOG4tvTK6tOh+ctbTxpbc/ziAk5zpj5Y0&#10;X83m87jiyZgvljkZ7tpTXXvACoIqeeBsvG5DehaRtsU7mk2jkmwvTM6UaROTmudXE1f92k5RL297&#10;8wsAAP//AwBQSwMEFAAGAAgAAAAhAHW6w4LfAAAACwEAAA8AAABkcnMvZG93bnJldi54bWxMj8FO&#10;g0AQhu8mvsNmmngxdqGBpSJLoyYar619gAGmQMruEnZb6Ns7nvQ4M1/++f5it5hBXGnyvbMa4nUE&#10;gmztmt62Go7fH09bED6gbXBwljTcyMOuvL8rMG/cbPd0PYRWcIj1OWroQhhzKX3dkUG/diNZvp3c&#10;ZDDwOLWymXDmcDPITRQpabC3/KHDkd47qs+Hi9Fw+pof0+e5+gzHbJ+oN+yzyt20flgtry8gAi3h&#10;D4ZffVaHkp0qd7GNF4OGVKkNoxqSJI5BMJEplYKoeLPNEpBlIf93KH8AAAD//wMAUEsBAi0AFAAG&#10;AAgAAAAhALaDOJL+AAAA4QEAABMAAAAAAAAAAAAAAAAAAAAAAFtDb250ZW50X1R5cGVzXS54bWxQ&#10;SwECLQAUAAYACAAAACEAOP0h/9YAAACUAQAACwAAAAAAAAAAAAAAAAAvAQAAX3JlbHMvLnJlbHNQ&#10;SwECLQAUAAYACAAAACEA8Fnw5iICAAAjBAAADgAAAAAAAAAAAAAAAAAuAgAAZHJzL2Uyb0RvYy54&#10;bWxQSwECLQAUAAYACAAAACEAdbrDgt8AAAALAQAADwAAAAAAAAAAAAAAAAB8BAAAZHJzL2Rvd25y&#10;ZXYueG1sUEsFBgAAAAAEAAQA8wAAAIgFAAAAAA==&#10;" stroked="f">
                <v:textbox>
                  <w:txbxContent>
                    <w:p w:rsidR="002C1B06" w:rsidRPr="007B239A" w:rsidRDefault="002C1B06">
                      <w:pPr>
                        <w:rPr>
                          <w:rFonts w:asciiTheme="minorHAnsi" w:hAnsiTheme="minorHAnsi"/>
                        </w:rPr>
                      </w:pPr>
                      <w:r>
                        <w:rPr>
                          <w:rFonts w:asciiTheme="minorHAnsi" w:hAnsiTheme="minorHAnsi"/>
                        </w:rPr>
                        <w:t>(</w:t>
                      </w:r>
                      <w:r w:rsidRPr="007B239A">
                        <w:rPr>
                          <w:rFonts w:asciiTheme="minorHAnsi" w:hAnsiTheme="minorHAnsi"/>
                        </w:rPr>
                        <w:t>By Percentage</w:t>
                      </w:r>
                      <w:r>
                        <w:rPr>
                          <w:rFonts w:asciiTheme="minorHAnsi" w:hAnsiTheme="minorHAnsi"/>
                        </w:rPr>
                        <w:t>)</w:t>
                      </w:r>
                    </w:p>
                  </w:txbxContent>
                </v:textbox>
              </v:shape>
            </w:pict>
          </mc:Fallback>
        </mc:AlternateContent>
      </w:r>
      <w:r w:rsidR="009B680E">
        <w:rPr>
          <w:noProof/>
        </w:rPr>
        <w:drawing>
          <wp:inline distT="0" distB="0" distL="0" distR="0" wp14:anchorId="3C1634F9" wp14:editId="3AFB0575">
            <wp:extent cx="5938344" cy="3142593"/>
            <wp:effectExtent l="0" t="0" r="5715" b="127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B239A" w:rsidRDefault="007B239A" w:rsidP="00CC0733">
      <w:pPr>
        <w:jc w:val="center"/>
      </w:pPr>
    </w:p>
    <w:p w:rsidR="007B239A" w:rsidRDefault="007B239A" w:rsidP="00525836">
      <w:r w:rsidRPr="007B239A">
        <w:rPr>
          <w:b/>
        </w:rPr>
        <w:lastRenderedPageBreak/>
        <w:t xml:space="preserve">Q.  </w:t>
      </w:r>
      <w:r w:rsidR="00525836" w:rsidRPr="00525836">
        <w:rPr>
          <w:b/>
          <w:bCs/>
        </w:rPr>
        <w:t>If you drug test both federally and non-federally regulated employees do you still report your drug testing activities for the non-federal employees to Maine BLS?</w:t>
      </w:r>
    </w:p>
    <w:p w:rsidR="00CC0733" w:rsidRDefault="00CC0733" w:rsidP="00CC0733">
      <w:pPr>
        <w:jc w:val="center"/>
      </w:pPr>
      <w:r>
        <w:rPr>
          <w:noProof/>
        </w:rPr>
        <w:drawing>
          <wp:inline distT="0" distB="0" distL="0" distR="0" wp14:anchorId="4B0D1A8B" wp14:editId="50C01372">
            <wp:extent cx="4804757" cy="3408218"/>
            <wp:effectExtent l="0" t="0" r="0" b="190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85B79" w:rsidRPr="00A85B79" w:rsidRDefault="00A85B79" w:rsidP="0014799F">
      <w:pPr>
        <w:spacing w:after="0"/>
        <w:rPr>
          <w:b/>
          <w:sz w:val="28"/>
          <w:szCs w:val="28"/>
          <w:u w:val="single"/>
        </w:rPr>
      </w:pPr>
      <w:r w:rsidRPr="00A85B79">
        <w:rPr>
          <w:b/>
          <w:sz w:val="28"/>
          <w:szCs w:val="28"/>
          <w:u w:val="single"/>
        </w:rPr>
        <w:t>Comments</w:t>
      </w:r>
    </w:p>
    <w:p w:rsidR="00CC0733" w:rsidRDefault="00CC0733" w:rsidP="00CC0733">
      <w:r w:rsidRPr="00026B42">
        <w:t xml:space="preserve">Although almost half the </w:t>
      </w:r>
      <w:r w:rsidR="00B74879">
        <w:t>participant</w:t>
      </w:r>
      <w:r w:rsidRPr="00026B42">
        <w:t xml:space="preserve">s </w:t>
      </w:r>
      <w:r>
        <w:t>prefer operating under</w:t>
      </w:r>
      <w:r w:rsidRPr="00026B42">
        <w:t xml:space="preserve"> their state-approved drug testing policies</w:t>
      </w:r>
      <w:r>
        <w:t xml:space="preserve"> for non-federally regulated employees</w:t>
      </w:r>
      <w:r w:rsidRPr="00026B42">
        <w:t xml:space="preserve">, many written comments argued </w:t>
      </w:r>
      <w:r>
        <w:t>for a</w:t>
      </w:r>
      <w:r w:rsidRPr="00026B42">
        <w:t xml:space="preserve"> single set of procedures when federally regulated and non-federally regulated </w:t>
      </w:r>
      <w:r>
        <w:t xml:space="preserve">employees </w:t>
      </w:r>
      <w:r w:rsidRPr="00026B42">
        <w:t xml:space="preserve">are tested.  Many </w:t>
      </w:r>
      <w:r>
        <w:t>also stated that</w:t>
      </w:r>
      <w:r w:rsidRPr="00026B42">
        <w:t xml:space="preserve"> they were looking to the </w:t>
      </w:r>
      <w:r>
        <w:t>D</w:t>
      </w:r>
      <w:r w:rsidRPr="00026B42">
        <w:t xml:space="preserve">epartment to reduce confusion </w:t>
      </w:r>
      <w:r>
        <w:t>over</w:t>
      </w:r>
      <w:r w:rsidRPr="00026B42">
        <w:t xml:space="preserve"> this part of the law.  One </w:t>
      </w:r>
      <w:r>
        <w:t>pointed out that</w:t>
      </w:r>
      <w:r w:rsidRPr="00026B42">
        <w:t xml:space="preserve"> some pr</w:t>
      </w:r>
      <w:r w:rsidRPr="00026B42">
        <w:t>o</w:t>
      </w:r>
      <w:r w:rsidRPr="00026B42">
        <w:t>visions of the federal programs ought not to be applied to no</w:t>
      </w:r>
      <w:r>
        <w:t xml:space="preserve">n-federally regulated employees, </w:t>
      </w:r>
      <w:r w:rsidRPr="00026B42">
        <w:t>including o</w:t>
      </w:r>
      <w:r w:rsidR="00393E3D">
        <w:t xml:space="preserve">bserved urine sample collection, </w:t>
      </w:r>
      <w:r w:rsidRPr="00026B42">
        <w:t xml:space="preserve">which is allowed </w:t>
      </w:r>
      <w:r>
        <w:t xml:space="preserve">and in some cases required </w:t>
      </w:r>
      <w:r w:rsidRPr="00026B42">
        <w:t xml:space="preserve">under the federal program.  Another </w:t>
      </w:r>
      <w:r>
        <w:t>noted</w:t>
      </w:r>
      <w:r w:rsidRPr="00026B42">
        <w:t xml:space="preserve"> that employer</w:t>
      </w:r>
      <w:r>
        <w:t>s</w:t>
      </w:r>
      <w:r w:rsidRPr="00026B42">
        <w:t xml:space="preserve"> should continue to report testing of non-federally regulated employees to the Department so that it will </w:t>
      </w:r>
      <w:r>
        <w:t xml:space="preserve">know </w:t>
      </w:r>
      <w:r w:rsidR="005A48D7">
        <w:t xml:space="preserve">the full extent of </w:t>
      </w:r>
      <w:r w:rsidRPr="00026B42">
        <w:t>employee</w:t>
      </w:r>
      <w:r>
        <w:t xml:space="preserve"> drug testing</w:t>
      </w:r>
      <w:r w:rsidR="005A48D7">
        <w:t xml:space="preserve"> that occurs in Maine</w:t>
      </w:r>
      <w:r>
        <w:t>.</w:t>
      </w:r>
    </w:p>
    <w:p w:rsidR="00CC0733" w:rsidRDefault="00CC0733" w:rsidP="00CC0733">
      <w:r>
        <w:br w:type="page"/>
      </w:r>
    </w:p>
    <w:p w:rsidR="00CC0733" w:rsidRPr="0021052C" w:rsidRDefault="00CC0733" w:rsidP="00E509C5">
      <w:pPr>
        <w:pStyle w:val="Heading2"/>
      </w:pPr>
      <w:r w:rsidRPr="0021052C">
        <w:lastRenderedPageBreak/>
        <w:t>Size of Random Testing Populations</w:t>
      </w:r>
    </w:p>
    <w:p w:rsidR="00525836" w:rsidRDefault="00525836" w:rsidP="00CC0733">
      <w:pPr>
        <w:rPr>
          <w:b/>
          <w:sz w:val="28"/>
          <w:szCs w:val="28"/>
          <w:u w:val="single"/>
        </w:rPr>
      </w:pP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Under the current drug testing law, employers with fewer than 50 employees are not allowed to conduct company-wide random drug testing if some of their employees are not in high risk or health- and safety-sensitive positions.</w:t>
      </w:r>
    </w:p>
    <w:p w:rsidR="00CC0733" w:rsidRPr="00026B42" w:rsidRDefault="00CC0733" w:rsidP="00CC0733">
      <w:r w:rsidRPr="00026B42">
        <w:t>Some employers have suggested that the 50-employee cutoff is too high, and that those with smaller nu</w:t>
      </w:r>
      <w:r w:rsidRPr="00026B42">
        <w:t>m</w:t>
      </w:r>
      <w:r w:rsidRPr="00026B42">
        <w:t>bers of employees should be able to conduct random testing for their entire workforce.</w:t>
      </w:r>
    </w:p>
    <w:p w:rsidR="00525836" w:rsidRDefault="00525836" w:rsidP="00CC0733">
      <w:pPr>
        <w:rPr>
          <w:b/>
          <w:sz w:val="28"/>
          <w:szCs w:val="28"/>
          <w:u w:val="single"/>
        </w:rPr>
      </w:pPr>
    </w:p>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CC0733" w:rsidRDefault="00CC0733" w:rsidP="00CC0733">
      <w:r w:rsidRPr="00026B42">
        <w:t xml:space="preserve">Of the survey </w:t>
      </w:r>
      <w:r w:rsidR="00B74879">
        <w:t>participant</w:t>
      </w:r>
      <w:r w:rsidRPr="00026B42">
        <w:t>s that answered the question, 76 percent believe that the state should allow co</w:t>
      </w:r>
      <w:r w:rsidRPr="00026B42">
        <w:t>m</w:t>
      </w:r>
      <w:r w:rsidRPr="00026B42">
        <w:t xml:space="preserve">pany-wide random drug testing for organizations with fewer than 50 employees. Of the </w:t>
      </w:r>
      <w:r w:rsidR="00B74879">
        <w:t>participant</w:t>
      </w:r>
      <w:r w:rsidRPr="00026B42">
        <w:t>s, 23% indicated they had been prevented from conducting random drug testing because they h</w:t>
      </w:r>
      <w:r w:rsidR="005A48D7">
        <w:t>ad fewer than 50 employees. T</w:t>
      </w:r>
      <w:r w:rsidRPr="00026B42">
        <w:t>here is a fairly even distribution of employee</w:t>
      </w:r>
      <w:r w:rsidR="005A48D7">
        <w:t>s</w:t>
      </w:r>
      <w:r w:rsidRPr="00026B42">
        <w:t xml:space="preserve"> in the</w:t>
      </w:r>
      <w:r w:rsidR="005A48D7">
        <w:t xml:space="preserve"> </w:t>
      </w:r>
      <w:r w:rsidRPr="00026B42">
        <w:t xml:space="preserve">companies </w:t>
      </w:r>
      <w:r w:rsidR="005A48D7">
        <w:t>that have</w:t>
      </w:r>
      <w:r w:rsidRPr="00026B42">
        <w:t xml:space="preserve"> up to 50 employees.</w:t>
      </w:r>
    </w:p>
    <w:p w:rsidR="00525836" w:rsidRPr="00525836" w:rsidRDefault="00525836" w:rsidP="00CC0733">
      <w:pPr>
        <w:rPr>
          <w:b/>
        </w:rPr>
      </w:pPr>
      <w:r w:rsidRPr="00525836">
        <w:rPr>
          <w:b/>
        </w:rPr>
        <w:t xml:space="preserve">Q.  </w:t>
      </w:r>
      <w:r w:rsidRPr="00525836">
        <w:rPr>
          <w:b/>
          <w:bCs/>
        </w:rPr>
        <w:t>Do you believe the state should allow company-wide random drug testing for organizations with fewer than 50 employees when some of those employees are not in health- or safety-sensitive pos</w:t>
      </w:r>
      <w:r w:rsidRPr="00525836">
        <w:rPr>
          <w:b/>
          <w:bCs/>
        </w:rPr>
        <w:t>i</w:t>
      </w:r>
      <w:r w:rsidRPr="00525836">
        <w:rPr>
          <w:b/>
          <w:bCs/>
        </w:rPr>
        <w:t>tions?</w:t>
      </w:r>
    </w:p>
    <w:p w:rsidR="00CC0733" w:rsidRDefault="00CC0733" w:rsidP="00CC0733">
      <w:pPr>
        <w:jc w:val="center"/>
      </w:pPr>
      <w:r>
        <w:rPr>
          <w:noProof/>
        </w:rPr>
        <w:drawing>
          <wp:inline distT="0" distB="0" distL="0" distR="0" wp14:anchorId="51135AB1" wp14:editId="6E8B0998">
            <wp:extent cx="4572000" cy="1860331"/>
            <wp:effectExtent l="0" t="0" r="0" b="698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25836" w:rsidRDefault="00525836">
      <w:pPr>
        <w:spacing w:after="0"/>
      </w:pPr>
      <w:r>
        <w:br w:type="page"/>
      </w:r>
    </w:p>
    <w:p w:rsidR="00525836" w:rsidRPr="00525836" w:rsidRDefault="00525836" w:rsidP="00525836">
      <w:r>
        <w:lastRenderedPageBreak/>
        <w:t xml:space="preserve">Q.  </w:t>
      </w:r>
      <w:r w:rsidRPr="00525836">
        <w:rPr>
          <w:b/>
          <w:bCs/>
        </w:rPr>
        <w:t>Has your organization been prevented from conducting random drug testing because it has fewer than 50 employees in high risk or health- or safety-sensitive positions?</w:t>
      </w:r>
    </w:p>
    <w:p w:rsidR="00525836" w:rsidRDefault="00525836" w:rsidP="00525836"/>
    <w:p w:rsidR="00CC0733" w:rsidRDefault="00DA045F" w:rsidP="00CC0733">
      <w:pPr>
        <w:jc w:val="center"/>
      </w:pPr>
      <w:r>
        <w:rPr>
          <w:noProof/>
        </w:rPr>
        <w:drawing>
          <wp:inline distT="0" distB="0" distL="0" distR="0" wp14:anchorId="66FC0F7E" wp14:editId="6EEB379A">
            <wp:extent cx="4572000" cy="18288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A045F" w:rsidRDefault="00DA045F" w:rsidP="00DA045F">
      <w:r w:rsidRPr="00DA045F">
        <w:rPr>
          <w:b/>
        </w:rPr>
        <w:t>Q.</w:t>
      </w:r>
      <w:r>
        <w:t xml:space="preserve">  </w:t>
      </w:r>
      <w:r w:rsidRPr="00DA045F">
        <w:rPr>
          <w:b/>
          <w:bCs/>
        </w:rPr>
        <w:t>How many employees would be in your random drug testing pool?</w:t>
      </w:r>
    </w:p>
    <w:p w:rsidR="00CC0733" w:rsidRDefault="00DA045F" w:rsidP="00CC0733">
      <w:pPr>
        <w:jc w:val="center"/>
      </w:pPr>
      <w:r>
        <w:rPr>
          <w:noProof/>
        </w:rPr>
        <w:drawing>
          <wp:inline distT="0" distB="0" distL="0" distR="0" wp14:anchorId="50C0FF30" wp14:editId="170AB207">
            <wp:extent cx="4572000" cy="1912883"/>
            <wp:effectExtent l="0" t="1905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A045F" w:rsidRDefault="00DA045F" w:rsidP="00CC0733"/>
    <w:p w:rsidR="00A85B79" w:rsidRPr="00A85B79" w:rsidRDefault="00A85B79" w:rsidP="00CC0733">
      <w:pPr>
        <w:rPr>
          <w:b/>
          <w:sz w:val="28"/>
          <w:szCs w:val="28"/>
          <w:u w:val="single"/>
        </w:rPr>
      </w:pPr>
      <w:r w:rsidRPr="00A85B79">
        <w:rPr>
          <w:b/>
          <w:sz w:val="28"/>
          <w:szCs w:val="28"/>
          <w:u w:val="single"/>
        </w:rPr>
        <w:t>Comments</w:t>
      </w:r>
    </w:p>
    <w:p w:rsidR="00CC0733" w:rsidRDefault="00CC0733" w:rsidP="00CC0733">
      <w:r w:rsidRPr="00026B42">
        <w:t>All of the additional comments were in support of lowering the cutoff from 50 employees, indicating that smaller companies have drug abuse problems as well and that confidentiality and randomness can be maintained with less than 50 employees as well as w</w:t>
      </w:r>
      <w:r>
        <w:t>ith more.</w:t>
      </w:r>
    </w:p>
    <w:p w:rsidR="00CC0733" w:rsidRDefault="00CC0733" w:rsidP="00CC0733">
      <w:r>
        <w:br w:type="page"/>
      </w:r>
    </w:p>
    <w:p w:rsidR="00AB45C4" w:rsidRPr="005A48D7" w:rsidRDefault="00CC0733" w:rsidP="005A48D7">
      <w:pPr>
        <w:pStyle w:val="Heading2"/>
      </w:pPr>
      <w:r w:rsidRPr="00193686">
        <w:lastRenderedPageBreak/>
        <w:t>First Accident Testing</w:t>
      </w:r>
    </w:p>
    <w:p w:rsidR="009D3441" w:rsidRDefault="009D3441" w:rsidP="00CC0733">
      <w:pPr>
        <w:rPr>
          <w:b/>
          <w:sz w:val="28"/>
          <w:szCs w:val="28"/>
          <w:u w:val="single"/>
        </w:rPr>
      </w:pP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Under Section 682.6 C of the employer drug testing law, the definition of probable cause specifically e</w:t>
      </w:r>
      <w:r w:rsidRPr="00026B42">
        <w:t>x</w:t>
      </w:r>
      <w:r w:rsidRPr="00026B42">
        <w:t>cludes “a single work-related accident.”  This means that the first work-related accident that an employee causes cannot be the reason for probable cause drug testing.  Some have suggested that this definition is not appropriate</w:t>
      </w:r>
      <w:r w:rsidR="004C2C46">
        <w:t xml:space="preserve">, </w:t>
      </w:r>
      <w:r w:rsidR="004C2C46" w:rsidRPr="00026B42">
        <w:t>because</w:t>
      </w:r>
      <w:r w:rsidRPr="00026B42">
        <w:t xml:space="preserve"> significant personal harm and/or property damage can be done by even one work-related accident that stems from drug abuse. Moreover, no other state or federal drug testing pr</w:t>
      </w:r>
      <w:r w:rsidRPr="00026B42">
        <w:t>o</w:t>
      </w:r>
      <w:r w:rsidRPr="00026B42">
        <w:t>gram allows that kind of exception.</w:t>
      </w:r>
    </w:p>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CC0733" w:rsidRPr="00026B42" w:rsidRDefault="00CC0733" w:rsidP="00CC0733">
      <w:r w:rsidRPr="00026B42">
        <w:t>About 10 percent of those who responded indicated that at least once they have had to forego probable cause testing due to the event being the first accident and 8 percent indicated that situation has occurred more than once at their organization.</w:t>
      </w:r>
    </w:p>
    <w:p w:rsidR="00CC0733" w:rsidRPr="00026B42" w:rsidRDefault="00CC0733" w:rsidP="00CC0733">
      <w:r w:rsidRPr="00026B42">
        <w:t xml:space="preserve">Most of the </w:t>
      </w:r>
      <w:r w:rsidR="00B74879">
        <w:t>participant</w:t>
      </w:r>
      <w:r w:rsidRPr="00026B42">
        <w:t>s (75 percent) indicated that they would prefer that the definition of probable cause testing should not exempt the first accident.</w:t>
      </w:r>
    </w:p>
    <w:p w:rsidR="00CC0733" w:rsidRDefault="00CC0733" w:rsidP="00CC0733">
      <w:r w:rsidRPr="00026B42">
        <w:t xml:space="preserve">About half of the </w:t>
      </w:r>
      <w:r w:rsidR="00B74879">
        <w:t>participant</w:t>
      </w:r>
      <w:r w:rsidRPr="00026B42">
        <w:t>s indicated that all their employees worked in safety-sensitive positions, while 39 percent said that only some of them did and 12 percent indicated that none of them did.</w:t>
      </w:r>
    </w:p>
    <w:p w:rsidR="009D3441" w:rsidRDefault="009D3441">
      <w:pPr>
        <w:spacing w:after="0"/>
      </w:pPr>
    </w:p>
    <w:p w:rsidR="005A4191" w:rsidRDefault="005A4191" w:rsidP="00CC0733">
      <w:r>
        <w:t xml:space="preserve">Q.  </w:t>
      </w:r>
      <w:r w:rsidRPr="005A4191">
        <w:rPr>
          <w:b/>
          <w:bCs/>
        </w:rPr>
        <w:t>Which statement below best describes your situation?</w:t>
      </w:r>
    </w:p>
    <w:p w:rsidR="00CC0733" w:rsidRDefault="009D3441" w:rsidP="00CC0733">
      <w:pPr>
        <w:jc w:val="center"/>
      </w:pPr>
      <w:r>
        <w:rPr>
          <w:noProof/>
        </w:rPr>
        <w:drawing>
          <wp:inline distT="0" distB="0" distL="0" distR="0" wp14:anchorId="7DCB8BCB" wp14:editId="2D678582">
            <wp:extent cx="5948979" cy="2388197"/>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E63B3" w:rsidRDefault="003E63B3">
      <w:pPr>
        <w:spacing w:after="0"/>
      </w:pPr>
      <w:r>
        <w:br w:type="page"/>
      </w:r>
    </w:p>
    <w:p w:rsidR="005A4191" w:rsidRDefault="005A4191" w:rsidP="005A4191">
      <w:r>
        <w:lastRenderedPageBreak/>
        <w:t xml:space="preserve">Q.  </w:t>
      </w:r>
      <w:r w:rsidRPr="005A4191">
        <w:rPr>
          <w:b/>
          <w:bCs/>
        </w:rPr>
        <w:t>Which best describes your experience with a probable cause determination relating to the "first" accident by an employee?</w:t>
      </w:r>
    </w:p>
    <w:p w:rsidR="00CC0733" w:rsidRDefault="005A4191" w:rsidP="00CC0733">
      <w:pPr>
        <w:jc w:val="center"/>
      </w:pPr>
      <w:r>
        <w:rPr>
          <w:noProof/>
        </w:rPr>
        <w:drawing>
          <wp:inline distT="0" distB="0" distL="0" distR="0" wp14:anchorId="43C4C3FA" wp14:editId="6E9F1BE5">
            <wp:extent cx="5952565" cy="33528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A4191" w:rsidRDefault="00D176B9" w:rsidP="00D176B9">
      <w:r>
        <w:t xml:space="preserve">Q.  </w:t>
      </w:r>
      <w:r w:rsidRPr="00D176B9">
        <w:rPr>
          <w:b/>
          <w:bCs/>
        </w:rPr>
        <w:t>Which statement best describes your preference?</w:t>
      </w:r>
    </w:p>
    <w:p w:rsidR="00AB45C4" w:rsidRDefault="00D176B9" w:rsidP="0065258B">
      <w:pPr>
        <w:jc w:val="center"/>
        <w:rPr>
          <w:b/>
          <w:sz w:val="28"/>
          <w:szCs w:val="28"/>
          <w:u w:val="single"/>
        </w:rPr>
      </w:pPr>
      <w:r>
        <w:rPr>
          <w:noProof/>
        </w:rPr>
        <w:drawing>
          <wp:inline distT="0" distB="0" distL="0" distR="0" wp14:anchorId="68FE045E" wp14:editId="73FA84CE">
            <wp:extent cx="6156960" cy="4011168"/>
            <wp:effectExtent l="0" t="0" r="0" b="889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85B79" w:rsidRPr="0065258B" w:rsidRDefault="00A85B79" w:rsidP="00AB45C4">
      <w:r w:rsidRPr="00A85B79">
        <w:rPr>
          <w:b/>
          <w:sz w:val="28"/>
          <w:szCs w:val="28"/>
          <w:u w:val="single"/>
        </w:rPr>
        <w:lastRenderedPageBreak/>
        <w:t>Comments</w:t>
      </w:r>
    </w:p>
    <w:p w:rsidR="00CC0733" w:rsidRDefault="00CC0733" w:rsidP="00CC0733">
      <w:pPr>
        <w:rPr>
          <w:rFonts w:ascii="Times New Roman" w:hAnsi="Times New Roman"/>
        </w:rPr>
      </w:pPr>
      <w:r w:rsidRPr="00026B42">
        <w:t>Some commenters suggest that the exemption for the first accident should simply be removed, while ot</w:t>
      </w:r>
      <w:r w:rsidRPr="00026B42">
        <w:t>h</w:t>
      </w:r>
      <w:r w:rsidRPr="00026B42">
        <w:t>ers suggest that it be exempted if it caused or co</w:t>
      </w:r>
      <w:r w:rsidR="00393E3D">
        <w:t>u</w:t>
      </w:r>
      <w:r w:rsidRPr="00026B42">
        <w:t>ld have caused injuries or significant damages</w:t>
      </w:r>
      <w:r w:rsidR="005A48D7">
        <w:t xml:space="preserve"> so that employers could not invoke probable cause testing for single accidents that are inconsequential.</w:t>
      </w:r>
    </w:p>
    <w:p w:rsidR="00393E3D" w:rsidRDefault="00393E3D">
      <w:pPr>
        <w:spacing w:after="0"/>
        <w:rPr>
          <w:rFonts w:ascii="Tw Cen MT Condensed" w:hAnsi="Tw Cen MT Condensed" w:cs="Arial"/>
          <w:iCs/>
          <w:kern w:val="32"/>
          <w:sz w:val="36"/>
          <w:szCs w:val="28"/>
        </w:rPr>
      </w:pPr>
      <w:r>
        <w:br w:type="page"/>
      </w:r>
    </w:p>
    <w:p w:rsidR="00AB45C4" w:rsidRPr="005A48D7" w:rsidRDefault="00CC0733" w:rsidP="005A48D7">
      <w:pPr>
        <w:pStyle w:val="Heading2"/>
      </w:pPr>
      <w:r w:rsidRPr="00193686">
        <w:lastRenderedPageBreak/>
        <w:t>Temporary Project Testing</w:t>
      </w: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BLS consistently receives inquiries relating to drug testing of employees involved with short-term co</w:t>
      </w:r>
      <w:r w:rsidRPr="00026B42">
        <w:t>n</w:t>
      </w:r>
      <w:r w:rsidRPr="00026B42">
        <w:t>tracts for specialized work, like that which occurs during maintenance shutdowns at paper mills and other manufacturing facilities.  At times, a company lands a contract for a short-term construction or maint</w:t>
      </w:r>
      <w:r w:rsidRPr="00026B42">
        <w:t>e</w:t>
      </w:r>
      <w:r w:rsidRPr="00026B42">
        <w:t>nance job for a company that requires drug testing of all employees who come on the site.  However, b</w:t>
      </w:r>
      <w:r w:rsidRPr="00026B42">
        <w:t>e</w:t>
      </w:r>
      <w:r w:rsidRPr="00026B42">
        <w:t xml:space="preserve">fore it can test those employees, the contractor must have an approved Maine </w:t>
      </w:r>
      <w:r w:rsidR="00393E3D">
        <w:t>d</w:t>
      </w:r>
      <w:r w:rsidRPr="00026B42">
        <w:t xml:space="preserve">rug </w:t>
      </w:r>
      <w:r w:rsidR="00393E3D">
        <w:t>t</w:t>
      </w:r>
      <w:r w:rsidRPr="00026B42">
        <w:t xml:space="preserve">esting </w:t>
      </w:r>
      <w:r w:rsidR="00393E3D">
        <w:t>p</w:t>
      </w:r>
      <w:r w:rsidRPr="00026B42">
        <w:t>olicy.   Lik</w:t>
      </w:r>
      <w:r w:rsidRPr="00026B42">
        <w:t>e</w:t>
      </w:r>
      <w:r w:rsidRPr="00026B42">
        <w:t xml:space="preserve">wise, if a Maine company is awarded a contract to provide services outside of Maine and the contract-offering company requires drug testing, the Maine </w:t>
      </w:r>
      <w:proofErr w:type="gramStart"/>
      <w:r w:rsidRPr="00026B42">
        <w:t>company</w:t>
      </w:r>
      <w:proofErr w:type="gramEnd"/>
      <w:r w:rsidRPr="00026B42">
        <w:t xml:space="preserve"> must have an approved Maine </w:t>
      </w:r>
      <w:r w:rsidR="00393E3D">
        <w:t>d</w:t>
      </w:r>
      <w:r w:rsidRPr="00026B42">
        <w:t xml:space="preserve">rug </w:t>
      </w:r>
      <w:r w:rsidR="00393E3D">
        <w:t>t</w:t>
      </w:r>
      <w:r w:rsidRPr="00026B42">
        <w:t xml:space="preserve">esting </w:t>
      </w:r>
      <w:r w:rsidR="00393E3D">
        <w:t>p</w:t>
      </w:r>
      <w:r w:rsidRPr="00026B42">
        <w:t>olicy before it can test the employees it will take to the out-of-state job.</w:t>
      </w:r>
    </w:p>
    <w:p w:rsidR="00CC0733" w:rsidRDefault="00CC0733" w:rsidP="00CC0733">
      <w:r w:rsidRPr="00026B42">
        <w:t>Obtaining an approved employee drug testing policy can be problematic under these circumstances.  U</w:t>
      </w:r>
      <w:r w:rsidRPr="00026B42">
        <w:t>n</w:t>
      </w:r>
      <w:r w:rsidRPr="00026B42">
        <w:t>der the current law, it takes at least 40 days after an employee drug testing policy application is submitted to BLS before any actual drug testing can occur due to notice and waiting requirements.  Further, if the contract work involves more than 20 employees, the contractor must have an approved EAP prior to commencing the work and is responsible for cost sharing should there be a need for employee rehab.  These can be significant barriers for companies who rely on this type of work.  The Department's only a</w:t>
      </w:r>
      <w:r w:rsidRPr="00026B42">
        <w:t>d</w:t>
      </w:r>
      <w:r w:rsidRPr="00026B42">
        <w:t>vice in the past has been for the contractors in that situation to try to prevail upon the companies to relax their drug testing requirements.</w:t>
      </w:r>
    </w:p>
    <w:p w:rsidR="005A48D7" w:rsidRPr="00026B42" w:rsidRDefault="005A48D7" w:rsidP="00CC0733"/>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8A27D2" w:rsidRDefault="00CC0733" w:rsidP="00CC0733">
      <w:r w:rsidRPr="00026B42">
        <w:t>Of the survey participants who answered this question, 24 percent indicated that they have lost a contract or the contracting company had to waive their drug testing policy to award their contract.  For one reason or the other it was not a problem for the remaining 76 percent although some worry that it will be a</w:t>
      </w:r>
      <w:r>
        <w:t xml:space="preserve"> pro</w:t>
      </w:r>
      <w:r>
        <w:t>b</w:t>
      </w:r>
      <w:r>
        <w:t>lem for them at some point</w:t>
      </w:r>
      <w:r w:rsidRPr="00026B42">
        <w:t xml:space="preserve">.  </w:t>
      </w:r>
    </w:p>
    <w:p w:rsidR="008A27D2" w:rsidRDefault="008A27D2" w:rsidP="00CC0733">
      <w:r>
        <w:t xml:space="preserve">Q.  </w:t>
      </w:r>
      <w:r w:rsidRPr="008A27D2">
        <w:rPr>
          <w:b/>
          <w:bCs/>
        </w:rPr>
        <w:t>Does your company or organization routinely compete for, or contract out, short term projects each year?</w:t>
      </w:r>
    </w:p>
    <w:p w:rsidR="008A27D2" w:rsidRDefault="003D57F0" w:rsidP="003D57F0">
      <w:pPr>
        <w:jc w:val="center"/>
      </w:pPr>
      <w:r>
        <w:rPr>
          <w:noProof/>
        </w:rPr>
        <w:drawing>
          <wp:inline distT="0" distB="0" distL="0" distR="0" wp14:anchorId="6CC5B9EF" wp14:editId="787B03A0">
            <wp:extent cx="4572000" cy="1660635"/>
            <wp:effectExtent l="0" t="1905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C0733" w:rsidRDefault="00CC0733" w:rsidP="00CC0733">
      <w:pPr>
        <w:jc w:val="center"/>
      </w:pPr>
    </w:p>
    <w:p w:rsidR="008A27D2" w:rsidRDefault="008A27D2" w:rsidP="008A27D2">
      <w:r>
        <w:t xml:space="preserve">Q.  </w:t>
      </w:r>
      <w:r w:rsidRPr="008A27D2">
        <w:rPr>
          <w:b/>
          <w:bCs/>
        </w:rPr>
        <w:t>Which best describes your experiences?</w:t>
      </w:r>
    </w:p>
    <w:p w:rsidR="00CC0733" w:rsidRDefault="00CC0733" w:rsidP="005A48D7">
      <w:pPr>
        <w:jc w:val="center"/>
      </w:pPr>
      <w:r>
        <w:rPr>
          <w:noProof/>
        </w:rPr>
        <w:drawing>
          <wp:inline distT="0" distB="0" distL="0" distR="0" wp14:anchorId="3176A3AD" wp14:editId="2F71F898">
            <wp:extent cx="5623035" cy="4908331"/>
            <wp:effectExtent l="0" t="0" r="0" b="698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A85B79" w:rsidRPr="00A85B79" w:rsidRDefault="00A85B79" w:rsidP="00CC0733">
      <w:pPr>
        <w:rPr>
          <w:b/>
          <w:sz w:val="28"/>
          <w:szCs w:val="28"/>
          <w:u w:val="single"/>
        </w:rPr>
      </w:pPr>
      <w:r w:rsidRPr="00A85B79">
        <w:rPr>
          <w:b/>
          <w:sz w:val="28"/>
          <w:szCs w:val="28"/>
          <w:u w:val="single"/>
        </w:rPr>
        <w:t>Comments</w:t>
      </w:r>
    </w:p>
    <w:p w:rsidR="00CC0733" w:rsidRDefault="005A48D7" w:rsidP="00CC0733">
      <w:pPr>
        <w:rPr>
          <w:b/>
          <w:sz w:val="28"/>
          <w:szCs w:val="28"/>
          <w:u w:val="single"/>
        </w:rPr>
      </w:pPr>
      <w:r>
        <w:t>Most of the c</w:t>
      </w:r>
      <w:r w:rsidR="00CC0733" w:rsidRPr="00026B42">
        <w:t>omments seem to suggest that employers c</w:t>
      </w:r>
      <w:r w:rsidR="00A85B79">
        <w:t>an avoid the problem by having</w:t>
      </w:r>
      <w:r w:rsidR="00CC0733" w:rsidRPr="00026B42">
        <w:t xml:space="preserve"> an approved pol</w:t>
      </w:r>
      <w:r w:rsidR="00CC0733" w:rsidRPr="00026B42">
        <w:t>i</w:t>
      </w:r>
      <w:r w:rsidR="00CC0733" w:rsidRPr="00026B42">
        <w:t>cy or by otherwise planning ahead</w:t>
      </w:r>
      <w:r w:rsidR="00CC0733">
        <w:t>.</w:t>
      </w:r>
    </w:p>
    <w:p w:rsidR="00CC0733" w:rsidRDefault="00CC0733" w:rsidP="00CC0733">
      <w:pPr>
        <w:rPr>
          <w:b/>
          <w:sz w:val="28"/>
          <w:szCs w:val="28"/>
          <w:u w:val="single"/>
        </w:rPr>
      </w:pPr>
      <w:r>
        <w:rPr>
          <w:b/>
          <w:sz w:val="28"/>
          <w:szCs w:val="28"/>
          <w:u w:val="single"/>
        </w:rPr>
        <w:br w:type="page"/>
      </w:r>
    </w:p>
    <w:p w:rsidR="00CC0733" w:rsidRPr="00193686" w:rsidRDefault="00CC0733" w:rsidP="00E509C5">
      <w:pPr>
        <w:pStyle w:val="Heading2"/>
      </w:pPr>
      <w:r w:rsidRPr="00193686">
        <w:lastRenderedPageBreak/>
        <w:t>Medical Marijuana</w:t>
      </w:r>
    </w:p>
    <w:p w:rsidR="00AB45C4" w:rsidRDefault="00AB45C4" w:rsidP="00CC0733">
      <w:pPr>
        <w:rPr>
          <w:b/>
          <w:sz w:val="28"/>
          <w:szCs w:val="28"/>
          <w:u w:val="single"/>
        </w:rPr>
      </w:pPr>
    </w:p>
    <w:p w:rsidR="00CC0733" w:rsidRPr="00156E3F" w:rsidRDefault="00CC0733" w:rsidP="00CC0733">
      <w:pPr>
        <w:rPr>
          <w:b/>
          <w:sz w:val="28"/>
          <w:szCs w:val="28"/>
          <w:u w:val="single"/>
        </w:rPr>
      </w:pPr>
      <w:r w:rsidRPr="00156E3F">
        <w:rPr>
          <w:b/>
          <w:sz w:val="28"/>
          <w:szCs w:val="28"/>
          <w:u w:val="single"/>
        </w:rPr>
        <w:t>Background</w:t>
      </w:r>
    </w:p>
    <w:p w:rsidR="00CC0733" w:rsidRPr="00026B42" w:rsidRDefault="00CC0733" w:rsidP="00CC0733">
      <w:r w:rsidRPr="00026B42">
        <w:t>BLS has received inquiries about how the legal medical use of marijuana fits in with workplace drug tes</w:t>
      </w:r>
      <w:r w:rsidRPr="00026B42">
        <w:t>t</w:t>
      </w:r>
      <w:r w:rsidRPr="00026B42">
        <w:t>ing and drug-free workplace policies.  If an employee legally uses marijuana away from the job for ther</w:t>
      </w:r>
      <w:r w:rsidRPr="00026B42">
        <w:t>a</w:t>
      </w:r>
      <w:r w:rsidRPr="00026B42">
        <w:t>peutic purposes and is subject to drug testing at work, that individual is likely to test positive for mariju</w:t>
      </w:r>
      <w:r w:rsidRPr="00026B42">
        <w:t>a</w:t>
      </w:r>
      <w:r w:rsidRPr="00026B42">
        <w:t xml:space="preserve">na.  Because marijuana and metabolites are retained </w:t>
      </w:r>
      <w:proofErr w:type="gramStart"/>
      <w:r w:rsidRPr="00026B42">
        <w:t>in  a</w:t>
      </w:r>
      <w:proofErr w:type="gramEnd"/>
      <w:r w:rsidRPr="00026B42">
        <w:t xml:space="preserve"> person's body for days and sometimes weeks, a test can be positive whether he or she is actually “impaired” or “under the influence” at the job. </w:t>
      </w:r>
    </w:p>
    <w:p w:rsidR="00CC0733" w:rsidRPr="00026B42" w:rsidRDefault="00CC0733" w:rsidP="00CC0733">
      <w:r w:rsidRPr="00026B42">
        <w:t>On the one hand, employees who are legally allowed to take medical marijuana, and are careful to avoid impairment at work, believe they should not be subject to the consequences of a positive employee drug test.  On the other hand, employers want to protect their employees and property from the risks associated with someone working under the influence of drugs, whether their use is medical, legal, or otherwise.</w:t>
      </w:r>
    </w:p>
    <w:p w:rsidR="00AB45C4" w:rsidRDefault="00AB45C4" w:rsidP="00CC0733">
      <w:pPr>
        <w:rPr>
          <w:b/>
          <w:sz w:val="28"/>
          <w:szCs w:val="28"/>
          <w:u w:val="single"/>
        </w:rPr>
      </w:pPr>
    </w:p>
    <w:p w:rsidR="00CC0733" w:rsidRPr="00156E3F" w:rsidRDefault="00CC0733" w:rsidP="00CC0733">
      <w:pPr>
        <w:rPr>
          <w:b/>
          <w:sz w:val="28"/>
          <w:szCs w:val="28"/>
          <w:u w:val="single"/>
        </w:rPr>
      </w:pPr>
      <w:r>
        <w:rPr>
          <w:b/>
          <w:sz w:val="28"/>
          <w:szCs w:val="28"/>
          <w:u w:val="single"/>
        </w:rPr>
        <w:t xml:space="preserve">Employer Drug Testing Survey </w:t>
      </w:r>
      <w:r w:rsidRPr="00156E3F">
        <w:rPr>
          <w:b/>
          <w:sz w:val="28"/>
          <w:szCs w:val="28"/>
          <w:u w:val="single"/>
        </w:rPr>
        <w:t xml:space="preserve">Information </w:t>
      </w:r>
    </w:p>
    <w:p w:rsidR="00CC0733" w:rsidRDefault="00CC0733" w:rsidP="00CC0733">
      <w:r w:rsidRPr="00026B42">
        <w:t xml:space="preserve">Of the </w:t>
      </w:r>
      <w:r w:rsidR="00B74879">
        <w:t>participant</w:t>
      </w:r>
      <w:r w:rsidRPr="00026B42">
        <w:t xml:space="preserve">s that answered the question, 53 percent did not know how many, if any, people in their organizations are legally allowed to use medical marijuana.  Only a few employers (8 percent) have been asked by employees to waive drug testing due to their possession of a medical marijuana card. Almost all of them (90 percent) indicated that there have not been any situations in their organization involving misunderstandings or confusion about medical or otherwise legalized marijuana use and drug testing.  When asked how they would approach a positive drug test due to medical marijuana use, half of the </w:t>
      </w:r>
      <w:r w:rsidR="00B74879">
        <w:t>pa</w:t>
      </w:r>
      <w:r w:rsidR="00B74879">
        <w:t>r</w:t>
      </w:r>
      <w:r w:rsidR="00B74879">
        <w:t>ticipant</w:t>
      </w:r>
      <w:r w:rsidRPr="00026B42">
        <w:t>s (52 percent) indicated they would treat the employee no differently than one who has tested positive for any other controlled substance.</w:t>
      </w:r>
    </w:p>
    <w:p w:rsidR="008E5384" w:rsidRDefault="008E5384" w:rsidP="00CC0733"/>
    <w:p w:rsidR="00AB45C4" w:rsidRDefault="00AB45C4">
      <w:pPr>
        <w:spacing w:after="0"/>
      </w:pPr>
      <w:r>
        <w:br w:type="page"/>
      </w:r>
    </w:p>
    <w:p w:rsidR="008E5384" w:rsidRDefault="008E5384" w:rsidP="00CC0733">
      <w:r>
        <w:lastRenderedPageBreak/>
        <w:t xml:space="preserve">Q.  </w:t>
      </w:r>
      <w:r w:rsidRPr="008E5384">
        <w:rPr>
          <w:b/>
          <w:bCs/>
        </w:rPr>
        <w:t>In your organization, how many employees or co-workers are legally allowed to use medical mar</w:t>
      </w:r>
      <w:r w:rsidRPr="008E5384">
        <w:rPr>
          <w:b/>
          <w:bCs/>
        </w:rPr>
        <w:t>i</w:t>
      </w:r>
      <w:r w:rsidRPr="008E5384">
        <w:rPr>
          <w:b/>
          <w:bCs/>
        </w:rPr>
        <w:t>juana?</w:t>
      </w:r>
    </w:p>
    <w:p w:rsidR="00CC0733" w:rsidRDefault="00CC0733" w:rsidP="00CC0733">
      <w:pPr>
        <w:jc w:val="center"/>
      </w:pPr>
      <w:r>
        <w:rPr>
          <w:noProof/>
        </w:rPr>
        <w:drawing>
          <wp:inline distT="0" distB="0" distL="0" distR="0" wp14:anchorId="7360C896" wp14:editId="62FC0805">
            <wp:extent cx="5548313" cy="2743200"/>
            <wp:effectExtent l="0" t="1905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E5384" w:rsidRDefault="008E5384" w:rsidP="00CC0733">
      <w:pPr>
        <w:jc w:val="center"/>
      </w:pPr>
    </w:p>
    <w:p w:rsidR="008E5384" w:rsidRPr="008E5384" w:rsidRDefault="008E5384" w:rsidP="008E5384">
      <w:r>
        <w:t xml:space="preserve">Q.  </w:t>
      </w:r>
      <w:r w:rsidRPr="008E5384">
        <w:rPr>
          <w:b/>
          <w:bCs/>
        </w:rPr>
        <w:t xml:space="preserve">  In your organization, have any employees asked to waive their drug testing due to use of medical marijuana?</w:t>
      </w:r>
    </w:p>
    <w:p w:rsidR="008E5384" w:rsidRDefault="008E5384" w:rsidP="008E5384"/>
    <w:p w:rsidR="00CC0733" w:rsidRDefault="00CC0733" w:rsidP="00CC0733">
      <w:pPr>
        <w:jc w:val="center"/>
      </w:pPr>
      <w:r>
        <w:rPr>
          <w:noProof/>
        </w:rPr>
        <w:drawing>
          <wp:inline distT="0" distB="0" distL="0" distR="0" wp14:anchorId="79CC8673" wp14:editId="364ED36D">
            <wp:extent cx="5150069" cy="2575034"/>
            <wp:effectExtent l="0" t="1905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E5384" w:rsidRDefault="008E5384" w:rsidP="00CC0733">
      <w:pPr>
        <w:jc w:val="center"/>
      </w:pPr>
    </w:p>
    <w:p w:rsidR="00AB45C4" w:rsidRDefault="00AB45C4">
      <w:pPr>
        <w:spacing w:after="0"/>
        <w:rPr>
          <w:b/>
        </w:rPr>
      </w:pPr>
      <w:r>
        <w:rPr>
          <w:b/>
        </w:rPr>
        <w:br w:type="page"/>
      </w:r>
    </w:p>
    <w:p w:rsidR="008E5384" w:rsidRDefault="008E5384" w:rsidP="008E5384">
      <w:pPr>
        <w:rPr>
          <w:b/>
        </w:rPr>
      </w:pPr>
      <w:r w:rsidRPr="008E5384">
        <w:rPr>
          <w:b/>
        </w:rPr>
        <w:lastRenderedPageBreak/>
        <w:t>Q.  In your organization, has any situation arisen because of worker's misunderstanding or confusion regarding the use of medical or "municipally legalized" marijuana and drug-testing?</w:t>
      </w:r>
    </w:p>
    <w:p w:rsidR="008E5384" w:rsidRPr="008E5384" w:rsidRDefault="008E5384" w:rsidP="008E5384">
      <w:pPr>
        <w:rPr>
          <w:b/>
        </w:rPr>
      </w:pPr>
    </w:p>
    <w:p w:rsidR="004801F9" w:rsidRDefault="00CC0733" w:rsidP="004801F9">
      <w:pPr>
        <w:jc w:val="center"/>
      </w:pPr>
      <w:r>
        <w:rPr>
          <w:noProof/>
        </w:rPr>
        <w:drawing>
          <wp:inline distT="0" distB="0" distL="0" distR="0" wp14:anchorId="0911DAC9" wp14:editId="0D0310DD">
            <wp:extent cx="5549462" cy="2259724"/>
            <wp:effectExtent l="0" t="19050" r="0" b="762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801F9" w:rsidRPr="004801F9" w:rsidRDefault="004801F9" w:rsidP="004801F9">
      <w:pPr>
        <w:jc w:val="center"/>
      </w:pPr>
      <w:r>
        <w:t xml:space="preserve">Q.  </w:t>
      </w:r>
      <w:r w:rsidRPr="004801F9">
        <w:rPr>
          <w:b/>
          <w:bCs/>
        </w:rPr>
        <w:t xml:space="preserve"> If an employee had a positive drug test due solely to the use of medical marijuana, which best d</w:t>
      </w:r>
      <w:r w:rsidRPr="004801F9">
        <w:rPr>
          <w:b/>
          <w:bCs/>
        </w:rPr>
        <w:t>e</w:t>
      </w:r>
      <w:r w:rsidRPr="004801F9">
        <w:rPr>
          <w:b/>
          <w:bCs/>
        </w:rPr>
        <w:t>scribes what your response would be?</w:t>
      </w:r>
    </w:p>
    <w:p w:rsidR="00CC0733" w:rsidRPr="00026B42" w:rsidRDefault="00CC0733" w:rsidP="00A85B79">
      <w:pPr>
        <w:jc w:val="center"/>
      </w:pPr>
      <w:r>
        <w:rPr>
          <w:noProof/>
        </w:rPr>
        <w:drawing>
          <wp:inline distT="0" distB="0" distL="0" distR="0" wp14:anchorId="49AA9878" wp14:editId="30A8178D">
            <wp:extent cx="5548313" cy="4371975"/>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AB45C4" w:rsidRDefault="00AB45C4">
      <w:pPr>
        <w:spacing w:after="0"/>
        <w:rPr>
          <w:b/>
          <w:sz w:val="28"/>
          <w:szCs w:val="28"/>
          <w:u w:val="single"/>
        </w:rPr>
      </w:pPr>
    </w:p>
    <w:p w:rsidR="00A85B79" w:rsidRPr="00A85B79" w:rsidRDefault="00A85B79" w:rsidP="00CC0733">
      <w:pPr>
        <w:rPr>
          <w:b/>
          <w:sz w:val="28"/>
          <w:szCs w:val="28"/>
          <w:u w:val="single"/>
        </w:rPr>
      </w:pPr>
      <w:r w:rsidRPr="00A85B79">
        <w:rPr>
          <w:b/>
          <w:sz w:val="28"/>
          <w:szCs w:val="28"/>
          <w:u w:val="single"/>
        </w:rPr>
        <w:t>Comments</w:t>
      </w:r>
    </w:p>
    <w:p w:rsidR="00CC0733" w:rsidRPr="00AA0860" w:rsidRDefault="00CC0733" w:rsidP="00CC0733">
      <w:r w:rsidRPr="00026B42">
        <w:t xml:space="preserve">Written comments and observations relating to medical marijuana and drug testing were provided by 84 </w:t>
      </w:r>
      <w:r w:rsidRPr="00AA0860">
        <w:t>survey participants.  They fall into the following general statements</w:t>
      </w:r>
      <w:r w:rsidR="00AA0860">
        <w:t xml:space="preserve"> in order of prevalence</w:t>
      </w:r>
      <w:r w:rsidRPr="00AA0860">
        <w:t>:</w:t>
      </w:r>
    </w:p>
    <w:p w:rsidR="00AA0860" w:rsidRPr="00AA0860" w:rsidRDefault="00AA0860" w:rsidP="00AA0860">
      <w:pPr>
        <w:pStyle w:val="ListParagraph"/>
        <w:numPr>
          <w:ilvl w:val="0"/>
          <w:numId w:val="12"/>
        </w:numPr>
        <w:rPr>
          <w:rFonts w:ascii="Minion Pro" w:hAnsi="Minion Pro"/>
          <w:sz w:val="24"/>
          <w:szCs w:val="24"/>
        </w:rPr>
      </w:pPr>
      <w:r w:rsidRPr="00AA0860">
        <w:rPr>
          <w:rFonts w:ascii="Minion Pro" w:hAnsi="Minion Pro"/>
        </w:rPr>
        <w:t>Medical marijuana use in the workplace poses complex and difficult questions for which there are yet no answers.  We have to learn more about the nature of risks, how to determine impairment, and what toler</w:t>
      </w:r>
      <w:r w:rsidRPr="00AA0860">
        <w:rPr>
          <w:rFonts w:ascii="Minion Pro" w:hAnsi="Minion Pro"/>
        </w:rPr>
        <w:t>a</w:t>
      </w:r>
      <w:r w:rsidRPr="00AA0860">
        <w:rPr>
          <w:rFonts w:ascii="Minion Pro" w:hAnsi="Minion Pro"/>
        </w:rPr>
        <w:t>ble limits in individuals are.  Presently, there is no clear cut way to determine or to dismiss impairment of any marijuana user</w:t>
      </w:r>
      <w:r w:rsidR="00393E3D">
        <w:rPr>
          <w:rFonts w:ascii="Minion Pro" w:hAnsi="Minion Pro"/>
        </w:rPr>
        <w:t>.</w:t>
      </w:r>
      <w:r w:rsidRPr="00AA0860">
        <w:rPr>
          <w:rFonts w:ascii="Minion Pro" w:hAnsi="Minion Pro"/>
        </w:rPr>
        <w:t xml:space="preserve"> (24 commenters)</w:t>
      </w:r>
    </w:p>
    <w:p w:rsidR="00AA0860" w:rsidRDefault="00CC0733" w:rsidP="00CC0733">
      <w:pPr>
        <w:pStyle w:val="ListParagraph"/>
        <w:numPr>
          <w:ilvl w:val="0"/>
          <w:numId w:val="12"/>
        </w:numPr>
        <w:rPr>
          <w:rFonts w:ascii="Minion Pro" w:hAnsi="Minion Pro"/>
        </w:rPr>
      </w:pPr>
      <w:r w:rsidRPr="00AA0860">
        <w:rPr>
          <w:rFonts w:ascii="Minion Pro" w:hAnsi="Minion Pro"/>
        </w:rPr>
        <w:t>Positive tests resulting from medical marijuana should be screened by the medical review officer, and not reported as positives to the employer</w:t>
      </w:r>
      <w:r w:rsidR="00393E3D">
        <w:rPr>
          <w:rFonts w:ascii="Minion Pro" w:hAnsi="Minion Pro"/>
        </w:rPr>
        <w:t>.</w:t>
      </w:r>
      <w:r w:rsidRPr="00AA0860">
        <w:rPr>
          <w:rFonts w:ascii="Minion Pro" w:hAnsi="Minion Pro"/>
        </w:rPr>
        <w:t xml:space="preserve"> (14 comment</w:t>
      </w:r>
      <w:r w:rsidR="00AA0860">
        <w:rPr>
          <w:rFonts w:ascii="Minion Pro" w:hAnsi="Minion Pro"/>
        </w:rPr>
        <w:t>er</w:t>
      </w:r>
      <w:r w:rsidRPr="00AA0860">
        <w:rPr>
          <w:rFonts w:ascii="Minion Pro" w:hAnsi="Minion Pro"/>
        </w:rPr>
        <w:t>s)</w:t>
      </w:r>
    </w:p>
    <w:p w:rsidR="00AA0860" w:rsidRPr="00AA0860" w:rsidRDefault="00AA0860" w:rsidP="00AA0860">
      <w:pPr>
        <w:pStyle w:val="ListParagraph"/>
        <w:numPr>
          <w:ilvl w:val="0"/>
          <w:numId w:val="12"/>
        </w:numPr>
        <w:rPr>
          <w:rFonts w:ascii="Minion Pro" w:hAnsi="Minion Pro"/>
        </w:rPr>
      </w:pPr>
      <w:r w:rsidRPr="00AA0860">
        <w:rPr>
          <w:rFonts w:ascii="Minion Pro" w:hAnsi="Minion Pro"/>
        </w:rPr>
        <w:t>Organizations should follow the federal law, which considers any use of marijuana illegal</w:t>
      </w:r>
      <w:r w:rsidR="00393E3D">
        <w:rPr>
          <w:rFonts w:ascii="Minion Pro" w:hAnsi="Minion Pro"/>
        </w:rPr>
        <w:t>.</w:t>
      </w:r>
      <w:r w:rsidRPr="00AA0860">
        <w:rPr>
          <w:rFonts w:ascii="Minion Pro" w:hAnsi="Minion Pro"/>
        </w:rPr>
        <w:t xml:space="preserve"> (13 commenters)</w:t>
      </w:r>
    </w:p>
    <w:p w:rsidR="00CC0733" w:rsidRPr="00AA0860" w:rsidRDefault="00AA0860" w:rsidP="00CC0733">
      <w:pPr>
        <w:pStyle w:val="ListParagraph"/>
        <w:numPr>
          <w:ilvl w:val="0"/>
          <w:numId w:val="12"/>
        </w:numPr>
        <w:rPr>
          <w:rFonts w:ascii="Minion Pro" w:hAnsi="Minion Pro"/>
        </w:rPr>
      </w:pPr>
      <w:r w:rsidRPr="00AA0860">
        <w:rPr>
          <w:rFonts w:ascii="Minion Pro" w:hAnsi="Minion Pro"/>
        </w:rPr>
        <w:t>Medical use of marijuana by employees is alright, so long as it is documented by a medical provider or if there is some demonstration or other evidence that medical marijuana users are not coming to work i</w:t>
      </w:r>
      <w:r w:rsidRPr="00AA0860">
        <w:rPr>
          <w:rFonts w:ascii="Minion Pro" w:hAnsi="Minion Pro"/>
        </w:rPr>
        <w:t>m</w:t>
      </w:r>
      <w:r w:rsidRPr="00AA0860">
        <w:rPr>
          <w:rFonts w:ascii="Minion Pro" w:hAnsi="Minion Pro"/>
        </w:rPr>
        <w:t>paired</w:t>
      </w:r>
      <w:r w:rsidR="00393E3D">
        <w:rPr>
          <w:rFonts w:ascii="Minion Pro" w:hAnsi="Minion Pro"/>
        </w:rPr>
        <w:t>.</w:t>
      </w:r>
      <w:r w:rsidRPr="00AA0860">
        <w:rPr>
          <w:rFonts w:ascii="Minion Pro" w:hAnsi="Minion Pro"/>
        </w:rPr>
        <w:t xml:space="preserve"> (12 commenters)</w:t>
      </w:r>
    </w:p>
    <w:p w:rsidR="00CC0733" w:rsidRPr="00AA0860" w:rsidRDefault="00CC0733" w:rsidP="00CC0733">
      <w:pPr>
        <w:pStyle w:val="ListParagraph"/>
        <w:numPr>
          <w:ilvl w:val="0"/>
          <w:numId w:val="12"/>
        </w:numPr>
        <w:rPr>
          <w:rFonts w:ascii="Minion Pro" w:hAnsi="Minion Pro"/>
        </w:rPr>
      </w:pPr>
      <w:r w:rsidRPr="00AA0860">
        <w:rPr>
          <w:rFonts w:ascii="Minion Pro" w:hAnsi="Minion Pro"/>
        </w:rPr>
        <w:t>Am opposed to, intolerant of, or uncomfortable with the new medical marijuana law and a positive test for marijuana should be treated no differently than a positive test for any other substance of abuse</w:t>
      </w:r>
      <w:r w:rsidR="00393E3D">
        <w:rPr>
          <w:rFonts w:ascii="Minion Pro" w:hAnsi="Minion Pro"/>
        </w:rPr>
        <w:t>.</w:t>
      </w:r>
      <w:r w:rsidRPr="00AA0860">
        <w:rPr>
          <w:rFonts w:ascii="Minion Pro" w:hAnsi="Minion Pro"/>
        </w:rPr>
        <w:t xml:space="preserve"> (10 co</w:t>
      </w:r>
      <w:r w:rsidRPr="00AA0860">
        <w:rPr>
          <w:rFonts w:ascii="Minion Pro" w:hAnsi="Minion Pro"/>
        </w:rPr>
        <w:t>m</w:t>
      </w:r>
      <w:r w:rsidRPr="00AA0860">
        <w:rPr>
          <w:rFonts w:ascii="Minion Pro" w:hAnsi="Minion Pro"/>
        </w:rPr>
        <w:t>menters)</w:t>
      </w:r>
    </w:p>
    <w:p w:rsidR="00CC0733" w:rsidRPr="00AA0860" w:rsidRDefault="00CC0733" w:rsidP="00CC0733">
      <w:pPr>
        <w:pStyle w:val="ListParagraph"/>
        <w:numPr>
          <w:ilvl w:val="0"/>
          <w:numId w:val="12"/>
        </w:numPr>
        <w:rPr>
          <w:rFonts w:ascii="Minion Pro" w:hAnsi="Minion Pro"/>
        </w:rPr>
      </w:pPr>
      <w:r w:rsidRPr="00AA0860">
        <w:rPr>
          <w:rFonts w:ascii="Minion Pro" w:hAnsi="Minion Pro"/>
        </w:rPr>
        <w:t>Our organization has safety-sensitive positions where there is no room for risks that could stem from mar</w:t>
      </w:r>
      <w:r w:rsidRPr="00AA0860">
        <w:rPr>
          <w:rFonts w:ascii="Minion Pro" w:hAnsi="Minion Pro"/>
        </w:rPr>
        <w:t>i</w:t>
      </w:r>
      <w:r w:rsidRPr="00AA0860">
        <w:rPr>
          <w:rFonts w:ascii="Minion Pro" w:hAnsi="Minion Pro"/>
        </w:rPr>
        <w:t>juana use</w:t>
      </w:r>
      <w:r w:rsidR="00393E3D">
        <w:rPr>
          <w:rFonts w:ascii="Minion Pro" w:hAnsi="Minion Pro"/>
        </w:rPr>
        <w:t>.</w:t>
      </w:r>
      <w:r w:rsidRPr="00AA0860">
        <w:rPr>
          <w:rFonts w:ascii="Minion Pro" w:hAnsi="Minion Pro"/>
        </w:rPr>
        <w:t xml:space="preserve"> (8 commenters)</w:t>
      </w:r>
    </w:p>
    <w:p w:rsidR="00AA0860" w:rsidRPr="00AA0860" w:rsidRDefault="00AA0860" w:rsidP="00AA0860">
      <w:pPr>
        <w:pStyle w:val="ListParagraph"/>
        <w:numPr>
          <w:ilvl w:val="0"/>
          <w:numId w:val="12"/>
        </w:numPr>
        <w:rPr>
          <w:rFonts w:ascii="Minion Pro" w:hAnsi="Minion Pro"/>
        </w:rPr>
      </w:pPr>
      <w:r w:rsidRPr="00AA0860">
        <w:rPr>
          <w:rFonts w:ascii="Minion Pro" w:hAnsi="Minion Pro"/>
        </w:rPr>
        <w:t>We don’t test for marijuana</w:t>
      </w:r>
      <w:r w:rsidR="00393E3D">
        <w:rPr>
          <w:rFonts w:ascii="Minion Pro" w:hAnsi="Minion Pro"/>
        </w:rPr>
        <w:t>.</w:t>
      </w:r>
      <w:r w:rsidRPr="00AA0860">
        <w:rPr>
          <w:rFonts w:ascii="Minion Pro" w:hAnsi="Minion Pro"/>
        </w:rPr>
        <w:t xml:space="preserve"> (3 commenters)</w:t>
      </w:r>
    </w:p>
    <w:p w:rsidR="00CC0733" w:rsidRPr="00AA0860" w:rsidRDefault="00CC0733" w:rsidP="00AA0860">
      <w:pPr>
        <w:pStyle w:val="ListParagraph"/>
        <w:rPr>
          <w:rFonts w:ascii="Minion Pro" w:hAnsi="Minion Pro"/>
        </w:rPr>
      </w:pPr>
    </w:p>
    <w:p w:rsidR="00AB45C4" w:rsidRDefault="00AB45C4">
      <w:pPr>
        <w:spacing w:after="0"/>
        <w:rPr>
          <w:rFonts w:ascii="Tw Cen MT Condensed" w:hAnsi="Tw Cen MT Condensed" w:cs="Arial"/>
          <w:bCs/>
          <w:kern w:val="32"/>
          <w:sz w:val="72"/>
          <w:szCs w:val="32"/>
        </w:rPr>
      </w:pPr>
      <w:r>
        <w:br w:type="page"/>
      </w:r>
    </w:p>
    <w:p w:rsidR="00CC0733" w:rsidRDefault="00CC0733" w:rsidP="00E7461F">
      <w:pPr>
        <w:pStyle w:val="Heading1"/>
      </w:pPr>
      <w:r>
        <w:lastRenderedPageBreak/>
        <w:t>COVERAGE OF TOPICS AND RANKING</w:t>
      </w:r>
    </w:p>
    <w:p w:rsidR="00E7461F" w:rsidRPr="00E7461F" w:rsidRDefault="00E7461F" w:rsidP="00E7461F"/>
    <w:p w:rsidR="00D82D43" w:rsidRDefault="00D82D43" w:rsidP="00D82D43">
      <w:pPr>
        <w:pStyle w:val="Heading2"/>
      </w:pPr>
      <w:r>
        <w:t>Coverage</w:t>
      </w:r>
    </w:p>
    <w:p w:rsidR="00AB45C4" w:rsidRDefault="00AB45C4" w:rsidP="00CC0733">
      <w:pPr>
        <w:widowControl w:val="0"/>
        <w:autoSpaceDE w:val="0"/>
        <w:autoSpaceDN w:val="0"/>
        <w:adjustRightInd w:val="0"/>
        <w:spacing w:before="200" w:after="0"/>
        <w:rPr>
          <w:rFonts w:cs="Arial"/>
          <w:bCs/>
          <w:color w:val="000000"/>
        </w:rPr>
      </w:pPr>
    </w:p>
    <w:p w:rsidR="00CC0733" w:rsidRDefault="00CC0733" w:rsidP="00CC0733">
      <w:pPr>
        <w:widowControl w:val="0"/>
        <w:autoSpaceDE w:val="0"/>
        <w:autoSpaceDN w:val="0"/>
        <w:adjustRightInd w:val="0"/>
        <w:spacing w:before="200" w:after="0"/>
        <w:rPr>
          <w:rFonts w:cs="Arial"/>
          <w:bCs/>
          <w:color w:val="000000"/>
        </w:rPr>
      </w:pPr>
      <w:r>
        <w:rPr>
          <w:rFonts w:cs="Arial"/>
          <w:bCs/>
          <w:color w:val="000000"/>
        </w:rPr>
        <w:t xml:space="preserve">The </w:t>
      </w:r>
      <w:r w:rsidR="00393E3D">
        <w:rPr>
          <w:rFonts w:cs="Arial"/>
          <w:bCs/>
          <w:color w:val="000000"/>
        </w:rPr>
        <w:t>c</w:t>
      </w:r>
      <w:r>
        <w:rPr>
          <w:rFonts w:cs="Arial"/>
          <w:bCs/>
          <w:color w:val="000000"/>
        </w:rPr>
        <w:t xml:space="preserve">hart below summarizes the responses relating to the coverage of topics by this survey.  Most of the </w:t>
      </w:r>
      <w:r w:rsidR="00B74879">
        <w:rPr>
          <w:rFonts w:cs="Arial"/>
          <w:bCs/>
          <w:color w:val="000000"/>
        </w:rPr>
        <w:t>participant</w:t>
      </w:r>
      <w:r>
        <w:rPr>
          <w:rFonts w:cs="Arial"/>
          <w:bCs/>
          <w:color w:val="000000"/>
        </w:rPr>
        <w:t>s (83 percent) indicated that they were satisfied with the set of topics that were presented by the survey.</w:t>
      </w:r>
    </w:p>
    <w:p w:rsidR="00153F43" w:rsidRDefault="00153F43" w:rsidP="00CC0733">
      <w:pPr>
        <w:widowControl w:val="0"/>
        <w:autoSpaceDE w:val="0"/>
        <w:autoSpaceDN w:val="0"/>
        <w:adjustRightInd w:val="0"/>
        <w:spacing w:before="200" w:after="0"/>
        <w:rPr>
          <w:rFonts w:cs="Arial"/>
          <w:b/>
          <w:bCs/>
          <w:color w:val="000000"/>
        </w:rPr>
      </w:pPr>
    </w:p>
    <w:p w:rsidR="00153F43" w:rsidRPr="00153F43" w:rsidRDefault="00153F43" w:rsidP="00CC0733">
      <w:pPr>
        <w:widowControl w:val="0"/>
        <w:autoSpaceDE w:val="0"/>
        <w:autoSpaceDN w:val="0"/>
        <w:adjustRightInd w:val="0"/>
        <w:spacing w:before="200" w:after="0"/>
        <w:rPr>
          <w:rFonts w:cs="Arial"/>
          <w:b/>
          <w:bCs/>
          <w:color w:val="000000"/>
        </w:rPr>
      </w:pPr>
      <w:r w:rsidRPr="00153F43">
        <w:rPr>
          <w:rFonts w:cs="Arial"/>
          <w:b/>
          <w:bCs/>
          <w:color w:val="000000"/>
        </w:rPr>
        <w:t xml:space="preserve">Q.  What </w:t>
      </w:r>
      <w:r w:rsidR="00393E3D">
        <w:rPr>
          <w:rFonts w:cs="Arial"/>
          <w:b/>
          <w:bCs/>
          <w:color w:val="000000"/>
        </w:rPr>
        <w:t>d</w:t>
      </w:r>
      <w:r w:rsidRPr="00153F43">
        <w:rPr>
          <w:rFonts w:cs="Arial"/>
          <w:b/>
          <w:bCs/>
          <w:color w:val="000000"/>
        </w:rPr>
        <w:t xml:space="preserve">o </w:t>
      </w:r>
      <w:r w:rsidR="00393E3D">
        <w:rPr>
          <w:rFonts w:cs="Arial"/>
          <w:b/>
          <w:bCs/>
          <w:color w:val="000000"/>
        </w:rPr>
        <w:t>y</w:t>
      </w:r>
      <w:r w:rsidRPr="00153F43">
        <w:rPr>
          <w:rFonts w:cs="Arial"/>
          <w:b/>
          <w:bCs/>
          <w:color w:val="000000"/>
        </w:rPr>
        <w:t xml:space="preserve">ou </w:t>
      </w:r>
      <w:r w:rsidR="00393E3D">
        <w:rPr>
          <w:rFonts w:cs="Arial"/>
          <w:b/>
          <w:bCs/>
          <w:color w:val="000000"/>
        </w:rPr>
        <w:t>t</w:t>
      </w:r>
      <w:r w:rsidRPr="00153F43">
        <w:rPr>
          <w:rFonts w:cs="Arial"/>
          <w:b/>
          <w:bCs/>
          <w:color w:val="000000"/>
        </w:rPr>
        <w:t xml:space="preserve">hink </w:t>
      </w:r>
      <w:r w:rsidR="00393E3D">
        <w:rPr>
          <w:rFonts w:cs="Arial"/>
          <w:b/>
          <w:bCs/>
          <w:color w:val="000000"/>
        </w:rPr>
        <w:t>a</w:t>
      </w:r>
      <w:r w:rsidRPr="00153F43">
        <w:rPr>
          <w:rFonts w:cs="Arial"/>
          <w:b/>
          <w:bCs/>
          <w:color w:val="000000"/>
        </w:rPr>
        <w:t xml:space="preserve">bout the </w:t>
      </w:r>
      <w:r w:rsidR="00393E3D">
        <w:rPr>
          <w:rFonts w:cs="Arial"/>
          <w:b/>
          <w:bCs/>
          <w:color w:val="000000"/>
        </w:rPr>
        <w:t>c</w:t>
      </w:r>
      <w:r w:rsidRPr="00153F43">
        <w:rPr>
          <w:rFonts w:cs="Arial"/>
          <w:b/>
          <w:bCs/>
          <w:color w:val="000000"/>
        </w:rPr>
        <w:t xml:space="preserve">overage of </w:t>
      </w:r>
      <w:r w:rsidR="00393E3D">
        <w:rPr>
          <w:rFonts w:cs="Arial"/>
          <w:b/>
          <w:bCs/>
          <w:color w:val="000000"/>
        </w:rPr>
        <w:t>t</w:t>
      </w:r>
      <w:r w:rsidRPr="00153F43">
        <w:rPr>
          <w:rFonts w:cs="Arial"/>
          <w:b/>
          <w:bCs/>
          <w:color w:val="000000"/>
        </w:rPr>
        <w:t xml:space="preserve">opics in </w:t>
      </w:r>
      <w:r w:rsidR="00393E3D">
        <w:rPr>
          <w:rFonts w:cs="Arial"/>
          <w:b/>
          <w:bCs/>
          <w:color w:val="000000"/>
        </w:rPr>
        <w:t>t</w:t>
      </w:r>
      <w:r w:rsidRPr="00153F43">
        <w:rPr>
          <w:rFonts w:cs="Arial"/>
          <w:b/>
          <w:bCs/>
          <w:color w:val="000000"/>
        </w:rPr>
        <w:t xml:space="preserve">his </w:t>
      </w:r>
      <w:r w:rsidR="00393E3D">
        <w:rPr>
          <w:rFonts w:cs="Arial"/>
          <w:b/>
          <w:bCs/>
          <w:color w:val="000000"/>
        </w:rPr>
        <w:t>s</w:t>
      </w:r>
      <w:r w:rsidRPr="00153F43">
        <w:rPr>
          <w:rFonts w:cs="Arial"/>
          <w:b/>
          <w:bCs/>
          <w:color w:val="000000"/>
        </w:rPr>
        <w:t>urvey</w:t>
      </w:r>
      <w:r>
        <w:rPr>
          <w:rFonts w:cs="Arial"/>
          <w:b/>
          <w:bCs/>
          <w:color w:val="000000"/>
        </w:rPr>
        <w:t>?</w:t>
      </w:r>
    </w:p>
    <w:p w:rsidR="00CC0733" w:rsidRPr="009B2C87" w:rsidRDefault="00CC0733" w:rsidP="00CC0733">
      <w:pPr>
        <w:widowControl w:val="0"/>
        <w:autoSpaceDE w:val="0"/>
        <w:autoSpaceDN w:val="0"/>
        <w:adjustRightInd w:val="0"/>
        <w:spacing w:before="200" w:after="0"/>
        <w:jc w:val="center"/>
        <w:rPr>
          <w:rFonts w:cs="Arial"/>
          <w:bCs/>
          <w:color w:val="000000"/>
        </w:rPr>
      </w:pPr>
      <w:r>
        <w:rPr>
          <w:noProof/>
        </w:rPr>
        <w:drawing>
          <wp:inline distT="0" distB="0" distL="0" distR="0" wp14:anchorId="4F45E54F" wp14:editId="477AE2F6">
            <wp:extent cx="5938345" cy="3279228"/>
            <wp:effectExtent l="0" t="0" r="571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53F43" w:rsidRDefault="00153F43">
      <w:pPr>
        <w:spacing w:after="0"/>
        <w:rPr>
          <w:rFonts w:ascii="Tw Cen MT Condensed" w:hAnsi="Tw Cen MT Condensed" w:cs="Arial"/>
          <w:iCs/>
          <w:kern w:val="32"/>
          <w:sz w:val="36"/>
          <w:szCs w:val="28"/>
        </w:rPr>
      </w:pPr>
      <w:r>
        <w:br w:type="page"/>
      </w:r>
    </w:p>
    <w:p w:rsidR="00CC0733" w:rsidRPr="00565024" w:rsidRDefault="00CC0733" w:rsidP="00D82D43">
      <w:pPr>
        <w:pStyle w:val="Heading2"/>
      </w:pPr>
      <w:r>
        <w:lastRenderedPageBreak/>
        <w:t xml:space="preserve">RANKING </w:t>
      </w:r>
      <w:r w:rsidRPr="00565024">
        <w:t>PRIORITIES</w:t>
      </w:r>
    </w:p>
    <w:p w:rsidR="00AB45C4" w:rsidRDefault="00AB45C4" w:rsidP="00CC0733"/>
    <w:p w:rsidR="00CC0733" w:rsidRDefault="00B74879" w:rsidP="00CC0733">
      <w:r>
        <w:t>Participant</w:t>
      </w:r>
      <w:r w:rsidR="00CC0733">
        <w:t xml:space="preserve">s were asked to rank the possible changes to the Maine Employer Drug Testing law/regulations based on how urgent or necessary they thought they were.  </w:t>
      </w:r>
      <w:r w:rsidR="00683BF6">
        <w:t xml:space="preserve">The issues with the lower </w:t>
      </w:r>
      <w:r w:rsidR="00393E3D">
        <w:t>r</w:t>
      </w:r>
      <w:r w:rsidR="00683BF6">
        <w:t xml:space="preserve">ating </w:t>
      </w:r>
      <w:r w:rsidR="00393E3D">
        <w:t>a</w:t>
      </w:r>
      <w:r w:rsidR="00683BF6">
        <w:t>verages would be deemed the most urgent, b</w:t>
      </w:r>
      <w:r w:rsidR="00357896">
        <w:t xml:space="preserve">ased </w:t>
      </w:r>
      <w:r w:rsidR="00683BF6">
        <w:t xml:space="preserve">overall on the </w:t>
      </w:r>
      <w:r w:rsidR="00357896">
        <w:t>choices</w:t>
      </w:r>
      <w:r w:rsidR="00683BF6">
        <w:t xml:space="preserve"> made by survey participants.</w:t>
      </w:r>
    </w:p>
    <w:p w:rsidR="00532E5D" w:rsidRDefault="00532E5D" w:rsidP="00CC0733"/>
    <w:tbl>
      <w:tblPr>
        <w:tblW w:w="9000" w:type="dxa"/>
        <w:jc w:val="center"/>
        <w:tblInd w:w="108" w:type="dxa"/>
        <w:tblLook w:val="04A0" w:firstRow="1" w:lastRow="0" w:firstColumn="1" w:lastColumn="0" w:noHBand="0" w:noVBand="1"/>
      </w:tblPr>
      <w:tblGrid>
        <w:gridCol w:w="2250"/>
        <w:gridCol w:w="1350"/>
        <w:gridCol w:w="1440"/>
        <w:gridCol w:w="1350"/>
        <w:gridCol w:w="1350"/>
        <w:gridCol w:w="1260"/>
      </w:tblGrid>
      <w:tr w:rsidR="00CC0733" w:rsidRPr="0054789B" w:rsidTr="00D82D43">
        <w:trPr>
          <w:trHeight w:val="915"/>
          <w:jc w:val="center"/>
        </w:trPr>
        <w:tc>
          <w:tcPr>
            <w:tcW w:w="9000" w:type="dxa"/>
            <w:gridSpan w:val="6"/>
            <w:tcBorders>
              <w:top w:val="single" w:sz="12" w:space="0" w:color="auto"/>
              <w:left w:val="single" w:sz="12" w:space="0" w:color="auto"/>
              <w:bottom w:val="single" w:sz="4" w:space="0" w:color="auto"/>
              <w:right w:val="single" w:sz="12" w:space="0" w:color="auto"/>
            </w:tcBorders>
            <w:shd w:val="clear" w:color="000000" w:fill="B7DEE8"/>
            <w:vAlign w:val="center"/>
          </w:tcPr>
          <w:p w:rsidR="00CC0733" w:rsidRDefault="00CC0733" w:rsidP="00DE6CD1">
            <w:pPr>
              <w:spacing w:after="0"/>
              <w:jc w:val="center"/>
              <w:rPr>
                <w:rFonts w:ascii="Calibri" w:hAnsi="Calibri"/>
                <w:b/>
                <w:bCs/>
                <w:color w:val="000000"/>
                <w:sz w:val="20"/>
                <w:szCs w:val="20"/>
              </w:rPr>
            </w:pPr>
            <w:r w:rsidRPr="00565024">
              <w:rPr>
                <w:rFonts w:ascii="Calibri" w:hAnsi="Calibri"/>
                <w:b/>
                <w:bCs/>
                <w:color w:val="000000"/>
                <w:sz w:val="32"/>
                <w:szCs w:val="32"/>
              </w:rPr>
              <w:t xml:space="preserve">PRIORITY RANKING OF POLICY </w:t>
            </w:r>
            <w:r w:rsidR="00357896">
              <w:rPr>
                <w:rFonts w:ascii="Calibri" w:hAnsi="Calibri"/>
                <w:b/>
                <w:bCs/>
                <w:color w:val="000000"/>
                <w:sz w:val="32"/>
                <w:szCs w:val="32"/>
              </w:rPr>
              <w:t>ISSUE</w:t>
            </w:r>
            <w:r w:rsidRPr="00565024">
              <w:rPr>
                <w:rFonts w:ascii="Calibri" w:hAnsi="Calibri"/>
                <w:b/>
                <w:bCs/>
                <w:color w:val="000000"/>
                <w:sz w:val="32"/>
                <w:szCs w:val="32"/>
              </w:rPr>
              <w:t>S</w:t>
            </w:r>
          </w:p>
          <w:p w:rsidR="00CC0733" w:rsidRPr="0054789B" w:rsidRDefault="00CC0733" w:rsidP="00DE6CD1">
            <w:pPr>
              <w:spacing w:after="0"/>
              <w:jc w:val="center"/>
              <w:rPr>
                <w:rFonts w:ascii="Calibri" w:hAnsi="Calibri"/>
                <w:b/>
                <w:color w:val="000000"/>
              </w:rPr>
            </w:pPr>
            <w:r w:rsidRPr="00565024">
              <w:rPr>
                <w:rFonts w:ascii="Calibri" w:hAnsi="Calibri"/>
                <w:b/>
                <w:bCs/>
                <w:color w:val="000000"/>
                <w:sz w:val="20"/>
                <w:szCs w:val="20"/>
              </w:rPr>
              <w:t xml:space="preserve"> (BY PERCENTAGE)</w:t>
            </w:r>
          </w:p>
        </w:tc>
      </w:tr>
      <w:tr w:rsidR="00CC0733" w:rsidRPr="00D82D43" w:rsidTr="00D82D43">
        <w:trPr>
          <w:trHeight w:val="915"/>
          <w:jc w:val="center"/>
        </w:trPr>
        <w:tc>
          <w:tcPr>
            <w:tcW w:w="2250" w:type="dxa"/>
            <w:tcBorders>
              <w:top w:val="single" w:sz="12" w:space="0" w:color="auto"/>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bCs/>
                <w:color w:val="000000"/>
                <w:sz w:val="20"/>
                <w:szCs w:val="20"/>
              </w:rPr>
            </w:pPr>
          </w:p>
        </w:tc>
        <w:tc>
          <w:tcPr>
            <w:tcW w:w="1350" w:type="dxa"/>
            <w:tcBorders>
              <w:top w:val="single" w:sz="12" w:space="0" w:color="auto"/>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Very i</w:t>
            </w:r>
            <w:r w:rsidRPr="00532E5D">
              <w:rPr>
                <w:rFonts w:ascii="Calibri" w:hAnsi="Calibri"/>
                <w:b/>
                <w:color w:val="000000"/>
                <w:sz w:val="20"/>
                <w:szCs w:val="20"/>
              </w:rPr>
              <w:t>m</w:t>
            </w:r>
            <w:r w:rsidRPr="00532E5D">
              <w:rPr>
                <w:rFonts w:ascii="Calibri" w:hAnsi="Calibri"/>
                <w:b/>
                <w:color w:val="000000"/>
                <w:sz w:val="20"/>
                <w:szCs w:val="20"/>
              </w:rPr>
              <w:t>portant - should be done right away</w:t>
            </w:r>
          </w:p>
        </w:tc>
        <w:tc>
          <w:tcPr>
            <w:tcW w:w="1440" w:type="dxa"/>
            <w:tcBorders>
              <w:top w:val="single" w:sz="12" w:space="0" w:color="auto"/>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Important - should be done in the next legisl</w:t>
            </w:r>
            <w:r w:rsidRPr="00532E5D">
              <w:rPr>
                <w:rFonts w:ascii="Calibri" w:hAnsi="Calibri"/>
                <w:b/>
                <w:color w:val="000000"/>
                <w:sz w:val="20"/>
                <w:szCs w:val="20"/>
              </w:rPr>
              <w:t>a</w:t>
            </w:r>
            <w:r w:rsidRPr="00532E5D">
              <w:rPr>
                <w:rFonts w:ascii="Calibri" w:hAnsi="Calibri"/>
                <w:b/>
                <w:color w:val="000000"/>
                <w:sz w:val="20"/>
                <w:szCs w:val="20"/>
              </w:rPr>
              <w:t>tive session</w:t>
            </w:r>
          </w:p>
        </w:tc>
        <w:tc>
          <w:tcPr>
            <w:tcW w:w="1350" w:type="dxa"/>
            <w:tcBorders>
              <w:top w:val="single" w:sz="12" w:space="0" w:color="auto"/>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Less i</w:t>
            </w:r>
            <w:r w:rsidRPr="00532E5D">
              <w:rPr>
                <w:rFonts w:ascii="Calibri" w:hAnsi="Calibri"/>
                <w:b/>
                <w:color w:val="000000"/>
                <w:sz w:val="20"/>
                <w:szCs w:val="20"/>
              </w:rPr>
              <w:t>m</w:t>
            </w:r>
            <w:r w:rsidRPr="00532E5D">
              <w:rPr>
                <w:rFonts w:ascii="Calibri" w:hAnsi="Calibri"/>
                <w:b/>
                <w:color w:val="000000"/>
                <w:sz w:val="20"/>
                <w:szCs w:val="20"/>
              </w:rPr>
              <w:t>portant - can be done sometime in the future</w:t>
            </w:r>
          </w:p>
        </w:tc>
        <w:tc>
          <w:tcPr>
            <w:tcW w:w="1350" w:type="dxa"/>
            <w:tcBorders>
              <w:top w:val="single" w:sz="12" w:space="0" w:color="auto"/>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Not i</w:t>
            </w:r>
            <w:r w:rsidRPr="00532E5D">
              <w:rPr>
                <w:rFonts w:ascii="Calibri" w:hAnsi="Calibri"/>
                <w:b/>
                <w:color w:val="000000"/>
                <w:sz w:val="20"/>
                <w:szCs w:val="20"/>
              </w:rPr>
              <w:t>m</w:t>
            </w:r>
            <w:r w:rsidRPr="00532E5D">
              <w:rPr>
                <w:rFonts w:ascii="Calibri" w:hAnsi="Calibri"/>
                <w:b/>
                <w:color w:val="000000"/>
                <w:sz w:val="20"/>
                <w:szCs w:val="20"/>
              </w:rPr>
              <w:t>portant - doesn't need to be done at all</w:t>
            </w:r>
          </w:p>
        </w:tc>
        <w:tc>
          <w:tcPr>
            <w:tcW w:w="1260" w:type="dxa"/>
            <w:tcBorders>
              <w:top w:val="single" w:sz="12" w:space="0" w:color="auto"/>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Rating A</w:t>
            </w:r>
            <w:r w:rsidRPr="00532E5D">
              <w:rPr>
                <w:rFonts w:ascii="Calibri" w:hAnsi="Calibri"/>
                <w:b/>
                <w:color w:val="000000"/>
                <w:sz w:val="20"/>
                <w:szCs w:val="20"/>
              </w:rPr>
              <w:t>v</w:t>
            </w:r>
            <w:r w:rsidRPr="00532E5D">
              <w:rPr>
                <w:rFonts w:ascii="Calibri" w:hAnsi="Calibri"/>
                <w:b/>
                <w:color w:val="000000"/>
                <w:sz w:val="20"/>
                <w:szCs w:val="20"/>
              </w:rPr>
              <w:t>erage</w:t>
            </w:r>
          </w:p>
        </w:tc>
      </w:tr>
      <w:tr w:rsidR="00CC0733" w:rsidRPr="00D82D43" w:rsidTr="00D82D43">
        <w:trPr>
          <w:trHeight w:val="3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Develop a regulatory uniform/model policy</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49</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61</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44</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22</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2.22</w:t>
            </w:r>
          </w:p>
        </w:tc>
      </w:tr>
      <w:tr w:rsidR="00CC0733" w:rsidRPr="00D82D43" w:rsidTr="00D82D43">
        <w:trPr>
          <w:trHeight w:val="3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Modify employer assi</w:t>
            </w:r>
            <w:r w:rsidRPr="00532E5D">
              <w:rPr>
                <w:rFonts w:ascii="Calibri" w:hAnsi="Calibri"/>
                <w:b/>
                <w:color w:val="000000"/>
                <w:sz w:val="20"/>
                <w:szCs w:val="20"/>
              </w:rPr>
              <w:t>s</w:t>
            </w:r>
            <w:r w:rsidRPr="00532E5D">
              <w:rPr>
                <w:rFonts w:ascii="Calibri" w:hAnsi="Calibri"/>
                <w:b/>
                <w:color w:val="000000"/>
                <w:sz w:val="20"/>
                <w:szCs w:val="20"/>
              </w:rPr>
              <w:t>tance requirements</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47</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61</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47</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22</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2.25</w:t>
            </w:r>
          </w:p>
        </w:tc>
      </w:tr>
      <w:tr w:rsidR="00CC0733" w:rsidRPr="00D82D43" w:rsidTr="00D82D43">
        <w:trPr>
          <w:trHeight w:val="3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Modify employee rehab and cost sharing r</w:t>
            </w:r>
            <w:r w:rsidRPr="00532E5D">
              <w:rPr>
                <w:rFonts w:ascii="Calibri" w:hAnsi="Calibri"/>
                <w:b/>
                <w:color w:val="000000"/>
                <w:sz w:val="20"/>
                <w:szCs w:val="20"/>
              </w:rPr>
              <w:t>e</w:t>
            </w:r>
            <w:r w:rsidRPr="00532E5D">
              <w:rPr>
                <w:rFonts w:ascii="Calibri" w:hAnsi="Calibri"/>
                <w:b/>
                <w:color w:val="000000"/>
                <w:sz w:val="20"/>
                <w:szCs w:val="20"/>
              </w:rPr>
              <w:t>quirements</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65</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53</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38</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19</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2.06</w:t>
            </w:r>
          </w:p>
        </w:tc>
      </w:tr>
      <w:tr w:rsidR="00CC0733" w:rsidRPr="00D82D43" w:rsidTr="00D82D43">
        <w:trPr>
          <w:trHeight w:val="6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Clarify provisions rela</w:t>
            </w:r>
            <w:r w:rsidRPr="00532E5D">
              <w:rPr>
                <w:rFonts w:ascii="Calibri" w:hAnsi="Calibri"/>
                <w:b/>
                <w:color w:val="000000"/>
                <w:sz w:val="20"/>
                <w:szCs w:val="20"/>
              </w:rPr>
              <w:t>t</w:t>
            </w:r>
            <w:r w:rsidRPr="00532E5D">
              <w:rPr>
                <w:rFonts w:ascii="Calibri" w:hAnsi="Calibri"/>
                <w:b/>
                <w:color w:val="000000"/>
                <w:sz w:val="20"/>
                <w:szCs w:val="20"/>
              </w:rPr>
              <w:t>ing to drug testing fe</w:t>
            </w:r>
            <w:r w:rsidRPr="00532E5D">
              <w:rPr>
                <w:rFonts w:ascii="Calibri" w:hAnsi="Calibri"/>
                <w:b/>
                <w:color w:val="000000"/>
                <w:sz w:val="20"/>
                <w:szCs w:val="20"/>
              </w:rPr>
              <w:t>d</w:t>
            </w:r>
            <w:r w:rsidRPr="00532E5D">
              <w:rPr>
                <w:rFonts w:ascii="Calibri" w:hAnsi="Calibri"/>
                <w:b/>
                <w:color w:val="000000"/>
                <w:sz w:val="20"/>
                <w:szCs w:val="20"/>
              </w:rPr>
              <w:t>erally regulated and non-federally regulated employees</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53</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75</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39</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11</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2.04</w:t>
            </w:r>
          </w:p>
        </w:tc>
      </w:tr>
      <w:tr w:rsidR="00CC0733" w:rsidRPr="00D82D43" w:rsidTr="00D82D43">
        <w:trPr>
          <w:trHeight w:val="3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Modify the size of ra</w:t>
            </w:r>
            <w:r w:rsidRPr="00532E5D">
              <w:rPr>
                <w:rFonts w:ascii="Calibri" w:hAnsi="Calibri"/>
                <w:b/>
                <w:color w:val="000000"/>
                <w:sz w:val="20"/>
                <w:szCs w:val="20"/>
              </w:rPr>
              <w:t>n</w:t>
            </w:r>
            <w:r w:rsidRPr="00532E5D">
              <w:rPr>
                <w:rFonts w:ascii="Calibri" w:hAnsi="Calibri"/>
                <w:b/>
                <w:color w:val="000000"/>
                <w:sz w:val="20"/>
                <w:szCs w:val="20"/>
              </w:rPr>
              <w:t>dom drug testing pop</w:t>
            </w:r>
            <w:r w:rsidRPr="00532E5D">
              <w:rPr>
                <w:rFonts w:ascii="Calibri" w:hAnsi="Calibri"/>
                <w:b/>
                <w:color w:val="000000"/>
                <w:sz w:val="20"/>
                <w:szCs w:val="20"/>
              </w:rPr>
              <w:t>u</w:t>
            </w:r>
            <w:r w:rsidRPr="00532E5D">
              <w:rPr>
                <w:rFonts w:ascii="Calibri" w:hAnsi="Calibri"/>
                <w:b/>
                <w:color w:val="000000"/>
                <w:sz w:val="20"/>
                <w:szCs w:val="20"/>
              </w:rPr>
              <w:t>lations</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35</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58</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60</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24</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2.41</w:t>
            </w:r>
          </w:p>
        </w:tc>
      </w:tr>
      <w:tr w:rsidR="00CC0733" w:rsidRPr="00D82D43" w:rsidTr="00D82D43">
        <w:trPr>
          <w:trHeight w:val="6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Modify the probable cause definition as r</w:t>
            </w:r>
            <w:r w:rsidRPr="00532E5D">
              <w:rPr>
                <w:rFonts w:ascii="Calibri" w:hAnsi="Calibri"/>
                <w:b/>
                <w:color w:val="000000"/>
                <w:sz w:val="20"/>
                <w:szCs w:val="20"/>
              </w:rPr>
              <w:t>e</w:t>
            </w:r>
            <w:r w:rsidRPr="00532E5D">
              <w:rPr>
                <w:rFonts w:ascii="Calibri" w:hAnsi="Calibri"/>
                <w:b/>
                <w:color w:val="000000"/>
                <w:sz w:val="20"/>
                <w:szCs w:val="20"/>
              </w:rPr>
              <w:t>lates to the first acc</w:t>
            </w:r>
            <w:r w:rsidRPr="00532E5D">
              <w:rPr>
                <w:rFonts w:ascii="Calibri" w:hAnsi="Calibri"/>
                <w:b/>
                <w:color w:val="000000"/>
                <w:sz w:val="20"/>
                <w:szCs w:val="20"/>
              </w:rPr>
              <w:t>i</w:t>
            </w:r>
            <w:r w:rsidRPr="00532E5D">
              <w:rPr>
                <w:rFonts w:ascii="Calibri" w:hAnsi="Calibri"/>
                <w:b/>
                <w:color w:val="000000"/>
                <w:sz w:val="20"/>
                <w:szCs w:val="20"/>
              </w:rPr>
              <w:t>dent</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72</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67</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29</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12</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1.89</w:t>
            </w:r>
          </w:p>
        </w:tc>
      </w:tr>
      <w:tr w:rsidR="00CC0733" w:rsidRPr="00D82D43" w:rsidTr="00D82D43">
        <w:trPr>
          <w:trHeight w:val="600"/>
          <w:jc w:val="center"/>
        </w:trPr>
        <w:tc>
          <w:tcPr>
            <w:tcW w:w="2250" w:type="dxa"/>
            <w:tcBorders>
              <w:top w:val="nil"/>
              <w:left w:val="single" w:sz="12" w:space="0" w:color="auto"/>
              <w:bottom w:val="single" w:sz="4"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Provide for drug testing of employees who work on temporary projects</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38</w:t>
            </w:r>
          </w:p>
        </w:tc>
        <w:tc>
          <w:tcPr>
            <w:tcW w:w="144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56</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52</w:t>
            </w:r>
          </w:p>
        </w:tc>
        <w:tc>
          <w:tcPr>
            <w:tcW w:w="1350" w:type="dxa"/>
            <w:tcBorders>
              <w:top w:val="nil"/>
              <w:left w:val="nil"/>
              <w:bottom w:val="single" w:sz="4"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34</w:t>
            </w:r>
          </w:p>
        </w:tc>
        <w:tc>
          <w:tcPr>
            <w:tcW w:w="1260" w:type="dxa"/>
            <w:tcBorders>
              <w:top w:val="nil"/>
              <w:left w:val="nil"/>
              <w:bottom w:val="single" w:sz="4"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2.46</w:t>
            </w:r>
          </w:p>
        </w:tc>
      </w:tr>
      <w:tr w:rsidR="00CC0733" w:rsidRPr="00D82D43" w:rsidTr="00D82D43">
        <w:trPr>
          <w:trHeight w:val="315"/>
          <w:jc w:val="center"/>
        </w:trPr>
        <w:tc>
          <w:tcPr>
            <w:tcW w:w="2250" w:type="dxa"/>
            <w:tcBorders>
              <w:top w:val="nil"/>
              <w:left w:val="single" w:sz="12" w:space="0" w:color="auto"/>
              <w:bottom w:val="single" w:sz="12" w:space="0" w:color="auto"/>
              <w:right w:val="single" w:sz="4" w:space="0" w:color="auto"/>
            </w:tcBorders>
            <w:shd w:val="clear" w:color="000000" w:fill="B7DEE8"/>
            <w:vAlign w:val="bottom"/>
            <w:hideMark/>
          </w:tcPr>
          <w:p w:rsidR="00CC0733" w:rsidRPr="00532E5D" w:rsidRDefault="00CC0733" w:rsidP="00DE6CD1">
            <w:pPr>
              <w:spacing w:after="0"/>
              <w:rPr>
                <w:rFonts w:ascii="Calibri" w:hAnsi="Calibri"/>
                <w:b/>
                <w:color w:val="000000"/>
                <w:sz w:val="20"/>
                <w:szCs w:val="20"/>
              </w:rPr>
            </w:pPr>
            <w:r w:rsidRPr="00532E5D">
              <w:rPr>
                <w:rFonts w:ascii="Calibri" w:hAnsi="Calibri"/>
                <w:b/>
                <w:color w:val="000000"/>
                <w:sz w:val="20"/>
                <w:szCs w:val="20"/>
              </w:rPr>
              <w:t>Modify the law to a</w:t>
            </w:r>
            <w:r w:rsidRPr="00532E5D">
              <w:rPr>
                <w:rFonts w:ascii="Calibri" w:hAnsi="Calibri"/>
                <w:b/>
                <w:color w:val="000000"/>
                <w:sz w:val="20"/>
                <w:szCs w:val="20"/>
              </w:rPr>
              <w:t>d</w:t>
            </w:r>
            <w:r w:rsidRPr="00532E5D">
              <w:rPr>
                <w:rFonts w:ascii="Calibri" w:hAnsi="Calibri"/>
                <w:b/>
                <w:color w:val="000000"/>
                <w:sz w:val="20"/>
                <w:szCs w:val="20"/>
              </w:rPr>
              <w:t>dress medical marijuana use</w:t>
            </w:r>
          </w:p>
        </w:tc>
        <w:tc>
          <w:tcPr>
            <w:tcW w:w="1350" w:type="dxa"/>
            <w:tcBorders>
              <w:top w:val="nil"/>
              <w:left w:val="nil"/>
              <w:bottom w:val="single" w:sz="12"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86</w:t>
            </w:r>
          </w:p>
        </w:tc>
        <w:tc>
          <w:tcPr>
            <w:tcW w:w="1440" w:type="dxa"/>
            <w:tcBorders>
              <w:top w:val="nil"/>
              <w:left w:val="nil"/>
              <w:bottom w:val="single" w:sz="12"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66</w:t>
            </w:r>
          </w:p>
        </w:tc>
        <w:tc>
          <w:tcPr>
            <w:tcW w:w="1350" w:type="dxa"/>
            <w:tcBorders>
              <w:top w:val="nil"/>
              <w:left w:val="nil"/>
              <w:bottom w:val="single" w:sz="12"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18</w:t>
            </w:r>
          </w:p>
        </w:tc>
        <w:tc>
          <w:tcPr>
            <w:tcW w:w="1350" w:type="dxa"/>
            <w:tcBorders>
              <w:top w:val="nil"/>
              <w:left w:val="nil"/>
              <w:bottom w:val="single" w:sz="12" w:space="0" w:color="auto"/>
              <w:right w:val="single" w:sz="4"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11</w:t>
            </w:r>
          </w:p>
        </w:tc>
        <w:tc>
          <w:tcPr>
            <w:tcW w:w="1260" w:type="dxa"/>
            <w:tcBorders>
              <w:top w:val="nil"/>
              <w:left w:val="nil"/>
              <w:bottom w:val="single" w:sz="12" w:space="0" w:color="auto"/>
              <w:right w:val="single" w:sz="12" w:space="0" w:color="auto"/>
            </w:tcBorders>
            <w:shd w:val="clear" w:color="000000" w:fill="B7DEE8"/>
            <w:vAlign w:val="center"/>
            <w:hideMark/>
          </w:tcPr>
          <w:p w:rsidR="00CC0733" w:rsidRPr="00532E5D" w:rsidRDefault="00CC0733" w:rsidP="00DE6CD1">
            <w:pPr>
              <w:spacing w:after="0"/>
              <w:jc w:val="center"/>
              <w:rPr>
                <w:rFonts w:ascii="Calibri" w:hAnsi="Calibri"/>
                <w:b/>
                <w:color w:val="000000"/>
                <w:sz w:val="20"/>
                <w:szCs w:val="20"/>
              </w:rPr>
            </w:pPr>
            <w:r w:rsidRPr="00532E5D">
              <w:rPr>
                <w:rFonts w:ascii="Calibri" w:hAnsi="Calibri"/>
                <w:b/>
                <w:color w:val="000000"/>
                <w:sz w:val="20"/>
                <w:szCs w:val="20"/>
              </w:rPr>
              <w:t>1.75</w:t>
            </w:r>
          </w:p>
        </w:tc>
      </w:tr>
    </w:tbl>
    <w:p w:rsidR="00CC0733" w:rsidRPr="00D82D43" w:rsidRDefault="00CC0733" w:rsidP="00CC0733">
      <w:pPr>
        <w:jc w:val="center"/>
        <w:rPr>
          <w:sz w:val="20"/>
          <w:szCs w:val="20"/>
        </w:rPr>
      </w:pPr>
    </w:p>
    <w:p w:rsidR="00C42340" w:rsidRPr="00A85B79" w:rsidRDefault="00C42340" w:rsidP="00C42340">
      <w:pPr>
        <w:rPr>
          <w:color w:val="FF0000"/>
          <w:sz w:val="20"/>
          <w:szCs w:val="20"/>
        </w:rPr>
      </w:pPr>
    </w:p>
    <w:sectPr w:rsidR="00C42340" w:rsidRPr="00A85B79" w:rsidSect="009A61E1">
      <w:footerReference w:type="default" r:id="rId47"/>
      <w:footerReference w:type="first" r:id="rId48"/>
      <w:type w:val="continuous"/>
      <w:pgSz w:w="12240" w:h="15840" w:code="1"/>
      <w:pgMar w:top="1008" w:right="1008" w:bottom="72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06" w:rsidRDefault="002C1B06">
      <w:r>
        <w:separator/>
      </w:r>
    </w:p>
  </w:endnote>
  <w:endnote w:type="continuationSeparator" w:id="0">
    <w:p w:rsidR="002C1B06" w:rsidRDefault="002C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E00002AF" w:usb1="5000E07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06" w:rsidRDefault="002C1B06" w:rsidP="005E4CBC">
    <w:pPr>
      <w:pStyle w:val="Footer"/>
      <w:tabs>
        <w:tab w:val="clear" w:pos="4320"/>
        <w:tab w:val="clear" w:pos="8640"/>
        <w:tab w:val="center" w:pos="5040"/>
        <w:tab w:val="right" w:pos="10080"/>
      </w:tabs>
      <w:ind w:right="360"/>
    </w:pPr>
  </w:p>
  <w:p w:rsidR="002C1B06" w:rsidRPr="005E4CBC" w:rsidRDefault="002C1B06" w:rsidP="005E4CBC">
    <w:pPr>
      <w:pStyle w:val="Footer"/>
      <w:tabs>
        <w:tab w:val="clear" w:pos="4320"/>
        <w:tab w:val="clear" w:pos="8640"/>
        <w:tab w:val="center" w:pos="5040"/>
        <w:tab w:val="right" w:pos="10080"/>
      </w:tabs>
      <w:ind w:right="360"/>
      <w:rPr>
        <w:rStyle w:val="PageNumber"/>
        <w:rFonts w:ascii="Tw Cen MT Condensed" w:hAnsi="Tw Cen MT Condensed"/>
        <w:sz w:val="20"/>
      </w:rPr>
    </w:pPr>
    <w:r>
      <w:rPr>
        <w:noProof/>
      </w:rPr>
      <w:drawing>
        <wp:anchor distT="0" distB="0" distL="114300" distR="114300" simplePos="0" relativeHeight="251657216" behindDoc="0" locked="0" layoutInCell="1" allowOverlap="1" wp14:anchorId="05E0128C" wp14:editId="00343B30">
          <wp:simplePos x="0" y="0"/>
          <wp:positionH relativeFrom="column">
            <wp:posOffset>0</wp:posOffset>
          </wp:positionH>
          <wp:positionV relativeFrom="paragraph">
            <wp:posOffset>0</wp:posOffset>
          </wp:positionV>
          <wp:extent cx="571500" cy="419100"/>
          <wp:effectExtent l="0" t="0" r="0" b="0"/>
          <wp:wrapNone/>
          <wp:docPr id="1" name="Picture 1" descr="md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tab/>
      <w:t>Bureau of Labor Standards • Employer Drug Testing Survey Report - 2014</w:t>
    </w:r>
    <w:r>
      <w:tab/>
    </w:r>
    <w:r w:rsidRPr="00D648CD">
      <w:rPr>
        <w:rStyle w:val="PageNumber"/>
      </w:rPr>
      <w:fldChar w:fldCharType="begin"/>
    </w:r>
    <w:r w:rsidRPr="00D648CD">
      <w:rPr>
        <w:rStyle w:val="PageNumber"/>
      </w:rPr>
      <w:instrText xml:space="preserve"> PAGE </w:instrText>
    </w:r>
    <w:r w:rsidRPr="00D648CD">
      <w:rPr>
        <w:rStyle w:val="PageNumber"/>
      </w:rPr>
      <w:fldChar w:fldCharType="separate"/>
    </w:r>
    <w:r w:rsidR="004C10FF">
      <w:rPr>
        <w:rStyle w:val="PageNumber"/>
        <w:noProof/>
      </w:rPr>
      <w:t>5</w:t>
    </w:r>
    <w:r w:rsidRPr="00D648C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06" w:rsidRPr="00FA7E3E" w:rsidRDefault="002C1B06" w:rsidP="00FA7E3E">
    <w:pPr>
      <w:pStyle w:val="EqualOpportunity"/>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-292100</wp:posOffset>
          </wp:positionV>
          <wp:extent cx="914400" cy="657860"/>
          <wp:effectExtent l="0" t="0" r="0" b="0"/>
          <wp:wrapNone/>
          <wp:docPr id="2" name="Picture 2" descr="mdol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l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E3E">
      <w:t>The Maine Department of Labor provides equal opportunity in employment and programs.</w:t>
    </w:r>
  </w:p>
  <w:p w:rsidR="002C1B06" w:rsidRPr="00FA7E3E" w:rsidRDefault="002C1B06" w:rsidP="00FA7E3E">
    <w:pPr>
      <w:pStyle w:val="EqualOpportunity"/>
    </w:pPr>
    <w:r w:rsidRPr="00FA7E3E">
      <w:t>Auxiliary aids and services are available to individuals with disabilities upon request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06" w:rsidRDefault="002C1B06">
      <w:r>
        <w:separator/>
      </w:r>
    </w:p>
  </w:footnote>
  <w:footnote w:type="continuationSeparator" w:id="0">
    <w:p w:rsidR="002C1B06" w:rsidRDefault="002C1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4EB"/>
    <w:multiLevelType w:val="multilevel"/>
    <w:tmpl w:val="BCC43028"/>
    <w:numStyleLink w:val="StyleBulleted"/>
  </w:abstractNum>
  <w:abstractNum w:abstractNumId="1">
    <w:nsid w:val="0D6A44D1"/>
    <w:multiLevelType w:val="multilevel"/>
    <w:tmpl w:val="BCC43028"/>
    <w:numStyleLink w:val="StyleBulleted"/>
  </w:abstractNum>
  <w:abstractNum w:abstractNumId="2">
    <w:nsid w:val="15CA0CD6"/>
    <w:multiLevelType w:val="multilevel"/>
    <w:tmpl w:val="BCC43028"/>
    <w:numStyleLink w:val="StyleBulleted"/>
  </w:abstractNum>
  <w:abstractNum w:abstractNumId="3">
    <w:nsid w:val="197F6183"/>
    <w:multiLevelType w:val="multilevel"/>
    <w:tmpl w:val="BCC43028"/>
    <w:numStyleLink w:val="StyleBulleted"/>
  </w:abstractNum>
  <w:abstractNum w:abstractNumId="4">
    <w:nsid w:val="1B43033E"/>
    <w:multiLevelType w:val="multilevel"/>
    <w:tmpl w:val="BCC43028"/>
    <w:numStyleLink w:val="StyleBulleted"/>
  </w:abstractNum>
  <w:abstractNum w:abstractNumId="5">
    <w:nsid w:val="1C924E0D"/>
    <w:multiLevelType w:val="hybridMultilevel"/>
    <w:tmpl w:val="1CF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00FD2"/>
    <w:multiLevelType w:val="multilevel"/>
    <w:tmpl w:val="BCC43028"/>
    <w:numStyleLink w:val="StyleBulleted"/>
  </w:abstractNum>
  <w:abstractNum w:abstractNumId="7">
    <w:nsid w:val="2A7C0DF6"/>
    <w:multiLevelType w:val="multilevel"/>
    <w:tmpl w:val="BCC43028"/>
    <w:numStyleLink w:val="StyleBulleted"/>
  </w:abstractNum>
  <w:abstractNum w:abstractNumId="8">
    <w:nsid w:val="2B0E7A82"/>
    <w:multiLevelType w:val="multilevel"/>
    <w:tmpl w:val="BCC43028"/>
    <w:numStyleLink w:val="StyleBulleted"/>
  </w:abstractNum>
  <w:abstractNum w:abstractNumId="9">
    <w:nsid w:val="34B36301"/>
    <w:multiLevelType w:val="multilevel"/>
    <w:tmpl w:val="BCC43028"/>
    <w:numStyleLink w:val="StyleBulleted"/>
  </w:abstractNum>
  <w:abstractNum w:abstractNumId="10">
    <w:nsid w:val="40F37497"/>
    <w:multiLevelType w:val="hybridMultilevel"/>
    <w:tmpl w:val="3D3A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9F5E86"/>
    <w:multiLevelType w:val="multilevel"/>
    <w:tmpl w:val="BCC43028"/>
    <w:numStyleLink w:val="StyleBulleted"/>
  </w:abstractNum>
  <w:abstractNum w:abstractNumId="12">
    <w:nsid w:val="55137365"/>
    <w:multiLevelType w:val="hybridMultilevel"/>
    <w:tmpl w:val="7F84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83513C"/>
    <w:multiLevelType w:val="multilevel"/>
    <w:tmpl w:val="BCC43028"/>
    <w:styleLink w:val="StyleBulleted"/>
    <w:lvl w:ilvl="0">
      <w:start w:val="1"/>
      <w:numFmt w:val="bullet"/>
      <w:lvlText w:val=""/>
      <w:lvlJc w:val="left"/>
      <w:pPr>
        <w:tabs>
          <w:tab w:val="num" w:pos="864"/>
        </w:tabs>
        <w:ind w:left="1224"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
  </w:num>
  <w:num w:numId="4">
    <w:abstractNumId w:val="0"/>
  </w:num>
  <w:num w:numId="5">
    <w:abstractNumId w:val="2"/>
  </w:num>
  <w:num w:numId="6">
    <w:abstractNumId w:val="8"/>
  </w:num>
  <w:num w:numId="7">
    <w:abstractNumId w:val="4"/>
  </w:num>
  <w:num w:numId="8">
    <w:abstractNumId w:val="3"/>
  </w:num>
  <w:num w:numId="9">
    <w:abstractNumId w:val="6"/>
  </w:num>
  <w:num w:numId="10">
    <w:abstractNumId w:val="7"/>
  </w:num>
  <w:num w:numId="11">
    <w:abstractNumId w:val="11"/>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CD"/>
    <w:rsid w:val="000023F4"/>
    <w:rsid w:val="0000255A"/>
    <w:rsid w:val="00004034"/>
    <w:rsid w:val="000040C8"/>
    <w:rsid w:val="000050C1"/>
    <w:rsid w:val="000061F3"/>
    <w:rsid w:val="00006822"/>
    <w:rsid w:val="000070ED"/>
    <w:rsid w:val="000107CF"/>
    <w:rsid w:val="00011436"/>
    <w:rsid w:val="000117DB"/>
    <w:rsid w:val="000131A6"/>
    <w:rsid w:val="000141D1"/>
    <w:rsid w:val="00014B51"/>
    <w:rsid w:val="00014BF6"/>
    <w:rsid w:val="0002132C"/>
    <w:rsid w:val="00021BFC"/>
    <w:rsid w:val="000239A7"/>
    <w:rsid w:val="000245A8"/>
    <w:rsid w:val="000252BE"/>
    <w:rsid w:val="00031663"/>
    <w:rsid w:val="00032F40"/>
    <w:rsid w:val="000334D7"/>
    <w:rsid w:val="00035A5F"/>
    <w:rsid w:val="0004117D"/>
    <w:rsid w:val="00042C5E"/>
    <w:rsid w:val="00045F96"/>
    <w:rsid w:val="000501AE"/>
    <w:rsid w:val="00050642"/>
    <w:rsid w:val="000514B5"/>
    <w:rsid w:val="000515C7"/>
    <w:rsid w:val="000518ED"/>
    <w:rsid w:val="00054EDB"/>
    <w:rsid w:val="000574CD"/>
    <w:rsid w:val="00063054"/>
    <w:rsid w:val="00067797"/>
    <w:rsid w:val="000678AC"/>
    <w:rsid w:val="00071892"/>
    <w:rsid w:val="00071A64"/>
    <w:rsid w:val="000720E0"/>
    <w:rsid w:val="000732F5"/>
    <w:rsid w:val="00073DCA"/>
    <w:rsid w:val="00074285"/>
    <w:rsid w:val="0007525A"/>
    <w:rsid w:val="00075609"/>
    <w:rsid w:val="00075BA4"/>
    <w:rsid w:val="000760CF"/>
    <w:rsid w:val="000807C3"/>
    <w:rsid w:val="000831EB"/>
    <w:rsid w:val="000836DB"/>
    <w:rsid w:val="000843F1"/>
    <w:rsid w:val="00084FBE"/>
    <w:rsid w:val="00087EB7"/>
    <w:rsid w:val="00096BC3"/>
    <w:rsid w:val="00096E0D"/>
    <w:rsid w:val="000A0041"/>
    <w:rsid w:val="000A1AAD"/>
    <w:rsid w:val="000A54DA"/>
    <w:rsid w:val="000A6AF8"/>
    <w:rsid w:val="000B0359"/>
    <w:rsid w:val="000B100C"/>
    <w:rsid w:val="000B28A8"/>
    <w:rsid w:val="000B2AC8"/>
    <w:rsid w:val="000B3A97"/>
    <w:rsid w:val="000B71CA"/>
    <w:rsid w:val="000B73A2"/>
    <w:rsid w:val="000C2361"/>
    <w:rsid w:val="000C3183"/>
    <w:rsid w:val="000C50E6"/>
    <w:rsid w:val="000C7BD4"/>
    <w:rsid w:val="000D54D4"/>
    <w:rsid w:val="000D66C2"/>
    <w:rsid w:val="000D6CFA"/>
    <w:rsid w:val="000E2667"/>
    <w:rsid w:val="000E2ABC"/>
    <w:rsid w:val="000E3BCE"/>
    <w:rsid w:val="000E504E"/>
    <w:rsid w:val="000E6D42"/>
    <w:rsid w:val="000F1040"/>
    <w:rsid w:val="000F292A"/>
    <w:rsid w:val="000F29E9"/>
    <w:rsid w:val="000F42E6"/>
    <w:rsid w:val="0010145F"/>
    <w:rsid w:val="00101CD8"/>
    <w:rsid w:val="00104227"/>
    <w:rsid w:val="00104716"/>
    <w:rsid w:val="00104938"/>
    <w:rsid w:val="00110576"/>
    <w:rsid w:val="00110B42"/>
    <w:rsid w:val="00113432"/>
    <w:rsid w:val="001151B5"/>
    <w:rsid w:val="00115FE7"/>
    <w:rsid w:val="00117BAC"/>
    <w:rsid w:val="00120F3A"/>
    <w:rsid w:val="0012139B"/>
    <w:rsid w:val="00126338"/>
    <w:rsid w:val="00126E97"/>
    <w:rsid w:val="001303CC"/>
    <w:rsid w:val="001323DD"/>
    <w:rsid w:val="001323F8"/>
    <w:rsid w:val="001332A5"/>
    <w:rsid w:val="0014083D"/>
    <w:rsid w:val="00141D88"/>
    <w:rsid w:val="00144873"/>
    <w:rsid w:val="001467F2"/>
    <w:rsid w:val="0014729B"/>
    <w:rsid w:val="0014799F"/>
    <w:rsid w:val="00150F97"/>
    <w:rsid w:val="00151084"/>
    <w:rsid w:val="001526E3"/>
    <w:rsid w:val="00153C10"/>
    <w:rsid w:val="00153F43"/>
    <w:rsid w:val="00154554"/>
    <w:rsid w:val="0016124E"/>
    <w:rsid w:val="00161A1B"/>
    <w:rsid w:val="00162FB9"/>
    <w:rsid w:val="00163355"/>
    <w:rsid w:val="00164890"/>
    <w:rsid w:val="00165AE8"/>
    <w:rsid w:val="00165B5D"/>
    <w:rsid w:val="00166217"/>
    <w:rsid w:val="001678AE"/>
    <w:rsid w:val="00172E54"/>
    <w:rsid w:val="0017425C"/>
    <w:rsid w:val="00175B4A"/>
    <w:rsid w:val="00175B85"/>
    <w:rsid w:val="00180688"/>
    <w:rsid w:val="00182509"/>
    <w:rsid w:val="00183845"/>
    <w:rsid w:val="00183F6A"/>
    <w:rsid w:val="00192176"/>
    <w:rsid w:val="00192264"/>
    <w:rsid w:val="00192DF1"/>
    <w:rsid w:val="0019358C"/>
    <w:rsid w:val="001944A9"/>
    <w:rsid w:val="001947A1"/>
    <w:rsid w:val="001958D2"/>
    <w:rsid w:val="00195AEB"/>
    <w:rsid w:val="001A06C5"/>
    <w:rsid w:val="001A0F82"/>
    <w:rsid w:val="001A4121"/>
    <w:rsid w:val="001A4B76"/>
    <w:rsid w:val="001A7A85"/>
    <w:rsid w:val="001B2FE4"/>
    <w:rsid w:val="001B3C3F"/>
    <w:rsid w:val="001B4304"/>
    <w:rsid w:val="001B7EEA"/>
    <w:rsid w:val="001C360D"/>
    <w:rsid w:val="001C4E14"/>
    <w:rsid w:val="001C71CE"/>
    <w:rsid w:val="001C755D"/>
    <w:rsid w:val="001D33C5"/>
    <w:rsid w:val="001D398B"/>
    <w:rsid w:val="001D4A85"/>
    <w:rsid w:val="001D4ADD"/>
    <w:rsid w:val="001D6D99"/>
    <w:rsid w:val="001E15F8"/>
    <w:rsid w:val="001E1A5E"/>
    <w:rsid w:val="001E2F0A"/>
    <w:rsid w:val="001E75CF"/>
    <w:rsid w:val="001F137E"/>
    <w:rsid w:val="001F2B58"/>
    <w:rsid w:val="001F3E43"/>
    <w:rsid w:val="001F58AF"/>
    <w:rsid w:val="001F5CF8"/>
    <w:rsid w:val="00200BE0"/>
    <w:rsid w:val="00203214"/>
    <w:rsid w:val="00205C8A"/>
    <w:rsid w:val="002075F4"/>
    <w:rsid w:val="00210C01"/>
    <w:rsid w:val="00215FE6"/>
    <w:rsid w:val="00216F83"/>
    <w:rsid w:val="00220A5D"/>
    <w:rsid w:val="00222088"/>
    <w:rsid w:val="002221E8"/>
    <w:rsid w:val="00222FE8"/>
    <w:rsid w:val="0022335F"/>
    <w:rsid w:val="00223915"/>
    <w:rsid w:val="00224086"/>
    <w:rsid w:val="00227684"/>
    <w:rsid w:val="00230D10"/>
    <w:rsid w:val="00230E05"/>
    <w:rsid w:val="00232598"/>
    <w:rsid w:val="00232874"/>
    <w:rsid w:val="0023430D"/>
    <w:rsid w:val="00237FD0"/>
    <w:rsid w:val="002411BC"/>
    <w:rsid w:val="002429E2"/>
    <w:rsid w:val="00242F6B"/>
    <w:rsid w:val="00244AAE"/>
    <w:rsid w:val="00246A0D"/>
    <w:rsid w:val="00247D00"/>
    <w:rsid w:val="002509D5"/>
    <w:rsid w:val="0025281A"/>
    <w:rsid w:val="00256082"/>
    <w:rsid w:val="002568B8"/>
    <w:rsid w:val="00257605"/>
    <w:rsid w:val="00260778"/>
    <w:rsid w:val="00262C10"/>
    <w:rsid w:val="00265390"/>
    <w:rsid w:val="0026606E"/>
    <w:rsid w:val="0027053A"/>
    <w:rsid w:val="00270B1F"/>
    <w:rsid w:val="00273989"/>
    <w:rsid w:val="00280C0D"/>
    <w:rsid w:val="00281C83"/>
    <w:rsid w:val="00281EE4"/>
    <w:rsid w:val="002843FE"/>
    <w:rsid w:val="0028644F"/>
    <w:rsid w:val="002870E2"/>
    <w:rsid w:val="002903DF"/>
    <w:rsid w:val="0029227E"/>
    <w:rsid w:val="002925D0"/>
    <w:rsid w:val="00292C96"/>
    <w:rsid w:val="002940FB"/>
    <w:rsid w:val="0029421C"/>
    <w:rsid w:val="002958B7"/>
    <w:rsid w:val="0029755E"/>
    <w:rsid w:val="002A1991"/>
    <w:rsid w:val="002A1C30"/>
    <w:rsid w:val="002A1C84"/>
    <w:rsid w:val="002A25C8"/>
    <w:rsid w:val="002A3171"/>
    <w:rsid w:val="002A4D72"/>
    <w:rsid w:val="002B12BB"/>
    <w:rsid w:val="002B4F8C"/>
    <w:rsid w:val="002B7466"/>
    <w:rsid w:val="002B7D77"/>
    <w:rsid w:val="002C1B06"/>
    <w:rsid w:val="002C30ED"/>
    <w:rsid w:val="002C3B6A"/>
    <w:rsid w:val="002C3EA9"/>
    <w:rsid w:val="002C3F4B"/>
    <w:rsid w:val="002C42EC"/>
    <w:rsid w:val="002C454D"/>
    <w:rsid w:val="002C5FAF"/>
    <w:rsid w:val="002C62CF"/>
    <w:rsid w:val="002C6A11"/>
    <w:rsid w:val="002C6FE5"/>
    <w:rsid w:val="002D0587"/>
    <w:rsid w:val="002D1116"/>
    <w:rsid w:val="002D3449"/>
    <w:rsid w:val="002D548D"/>
    <w:rsid w:val="002D6B97"/>
    <w:rsid w:val="002D7072"/>
    <w:rsid w:val="002D73DF"/>
    <w:rsid w:val="002E0594"/>
    <w:rsid w:val="002E340A"/>
    <w:rsid w:val="002E48C0"/>
    <w:rsid w:val="002E56A3"/>
    <w:rsid w:val="002E6AFF"/>
    <w:rsid w:val="002E7668"/>
    <w:rsid w:val="002F0372"/>
    <w:rsid w:val="002F07B4"/>
    <w:rsid w:val="002F15C6"/>
    <w:rsid w:val="002F2291"/>
    <w:rsid w:val="002F63B0"/>
    <w:rsid w:val="002F7C20"/>
    <w:rsid w:val="003031D6"/>
    <w:rsid w:val="00305542"/>
    <w:rsid w:val="00311869"/>
    <w:rsid w:val="00314F7E"/>
    <w:rsid w:val="003150C4"/>
    <w:rsid w:val="0031610F"/>
    <w:rsid w:val="003161FE"/>
    <w:rsid w:val="00320A5F"/>
    <w:rsid w:val="00322F02"/>
    <w:rsid w:val="00323332"/>
    <w:rsid w:val="00323541"/>
    <w:rsid w:val="003311AA"/>
    <w:rsid w:val="00333201"/>
    <w:rsid w:val="00334299"/>
    <w:rsid w:val="00334E5C"/>
    <w:rsid w:val="00336E60"/>
    <w:rsid w:val="00352B95"/>
    <w:rsid w:val="003573DE"/>
    <w:rsid w:val="00357896"/>
    <w:rsid w:val="003604C1"/>
    <w:rsid w:val="00361386"/>
    <w:rsid w:val="00363296"/>
    <w:rsid w:val="0036339F"/>
    <w:rsid w:val="00363CAB"/>
    <w:rsid w:val="0036451D"/>
    <w:rsid w:val="00364A44"/>
    <w:rsid w:val="00365F54"/>
    <w:rsid w:val="00365FD4"/>
    <w:rsid w:val="003734A2"/>
    <w:rsid w:val="003753CF"/>
    <w:rsid w:val="0038011A"/>
    <w:rsid w:val="00384EB1"/>
    <w:rsid w:val="003861D1"/>
    <w:rsid w:val="00387E33"/>
    <w:rsid w:val="00391BD5"/>
    <w:rsid w:val="003924F9"/>
    <w:rsid w:val="00393E3D"/>
    <w:rsid w:val="00396D73"/>
    <w:rsid w:val="003A0771"/>
    <w:rsid w:val="003A095A"/>
    <w:rsid w:val="003A0EB3"/>
    <w:rsid w:val="003A13B3"/>
    <w:rsid w:val="003A330B"/>
    <w:rsid w:val="003A5C11"/>
    <w:rsid w:val="003A7082"/>
    <w:rsid w:val="003A733E"/>
    <w:rsid w:val="003B02CF"/>
    <w:rsid w:val="003B3599"/>
    <w:rsid w:val="003B4E3F"/>
    <w:rsid w:val="003B6DC7"/>
    <w:rsid w:val="003C1657"/>
    <w:rsid w:val="003C185A"/>
    <w:rsid w:val="003C222F"/>
    <w:rsid w:val="003C2E3C"/>
    <w:rsid w:val="003C3109"/>
    <w:rsid w:val="003C4421"/>
    <w:rsid w:val="003C76E8"/>
    <w:rsid w:val="003D2B6D"/>
    <w:rsid w:val="003D4886"/>
    <w:rsid w:val="003D57F0"/>
    <w:rsid w:val="003D6BAC"/>
    <w:rsid w:val="003E0BD4"/>
    <w:rsid w:val="003E0C37"/>
    <w:rsid w:val="003E1301"/>
    <w:rsid w:val="003E27BF"/>
    <w:rsid w:val="003E5974"/>
    <w:rsid w:val="003E5C73"/>
    <w:rsid w:val="003E602D"/>
    <w:rsid w:val="003E63B3"/>
    <w:rsid w:val="003E6B00"/>
    <w:rsid w:val="003E71D4"/>
    <w:rsid w:val="003F09C1"/>
    <w:rsid w:val="003F5801"/>
    <w:rsid w:val="003F5A6B"/>
    <w:rsid w:val="003F653F"/>
    <w:rsid w:val="003F722E"/>
    <w:rsid w:val="003F7CCC"/>
    <w:rsid w:val="003F7CDF"/>
    <w:rsid w:val="003F7ED3"/>
    <w:rsid w:val="004000B3"/>
    <w:rsid w:val="004054CC"/>
    <w:rsid w:val="00410B82"/>
    <w:rsid w:val="00411666"/>
    <w:rsid w:val="00411DDB"/>
    <w:rsid w:val="00412BA3"/>
    <w:rsid w:val="00413303"/>
    <w:rsid w:val="00415583"/>
    <w:rsid w:val="00417FD1"/>
    <w:rsid w:val="00421067"/>
    <w:rsid w:val="00423040"/>
    <w:rsid w:val="0043132E"/>
    <w:rsid w:val="004344D7"/>
    <w:rsid w:val="00436A4C"/>
    <w:rsid w:val="0043737A"/>
    <w:rsid w:val="00437D1C"/>
    <w:rsid w:val="004422D2"/>
    <w:rsid w:val="00442A00"/>
    <w:rsid w:val="00442D72"/>
    <w:rsid w:val="00442E19"/>
    <w:rsid w:val="00444E11"/>
    <w:rsid w:val="0044654D"/>
    <w:rsid w:val="00446DEC"/>
    <w:rsid w:val="00447578"/>
    <w:rsid w:val="00452A38"/>
    <w:rsid w:val="00453227"/>
    <w:rsid w:val="00457E51"/>
    <w:rsid w:val="00460D1A"/>
    <w:rsid w:val="00462701"/>
    <w:rsid w:val="0046281B"/>
    <w:rsid w:val="0046306B"/>
    <w:rsid w:val="00465A23"/>
    <w:rsid w:val="004665D2"/>
    <w:rsid w:val="004671C0"/>
    <w:rsid w:val="004721E0"/>
    <w:rsid w:val="004801F9"/>
    <w:rsid w:val="00480B64"/>
    <w:rsid w:val="004830C4"/>
    <w:rsid w:val="0048432B"/>
    <w:rsid w:val="0048442F"/>
    <w:rsid w:val="00486335"/>
    <w:rsid w:val="004863A0"/>
    <w:rsid w:val="00490032"/>
    <w:rsid w:val="00491419"/>
    <w:rsid w:val="00491A62"/>
    <w:rsid w:val="0049427E"/>
    <w:rsid w:val="004950BD"/>
    <w:rsid w:val="00495434"/>
    <w:rsid w:val="004959CB"/>
    <w:rsid w:val="0049670A"/>
    <w:rsid w:val="004A12D3"/>
    <w:rsid w:val="004A14F7"/>
    <w:rsid w:val="004A152B"/>
    <w:rsid w:val="004A3D2A"/>
    <w:rsid w:val="004A40C0"/>
    <w:rsid w:val="004A42D6"/>
    <w:rsid w:val="004A523E"/>
    <w:rsid w:val="004A635A"/>
    <w:rsid w:val="004A74FE"/>
    <w:rsid w:val="004B1C4F"/>
    <w:rsid w:val="004B2973"/>
    <w:rsid w:val="004B46B0"/>
    <w:rsid w:val="004B5A20"/>
    <w:rsid w:val="004B7C0E"/>
    <w:rsid w:val="004C0033"/>
    <w:rsid w:val="004C10FF"/>
    <w:rsid w:val="004C22D2"/>
    <w:rsid w:val="004C2C46"/>
    <w:rsid w:val="004C3AB1"/>
    <w:rsid w:val="004C3ADE"/>
    <w:rsid w:val="004C68E0"/>
    <w:rsid w:val="004D11CF"/>
    <w:rsid w:val="004D2902"/>
    <w:rsid w:val="004D2C28"/>
    <w:rsid w:val="004D474E"/>
    <w:rsid w:val="004D4B6C"/>
    <w:rsid w:val="004D4FFA"/>
    <w:rsid w:val="004D60C1"/>
    <w:rsid w:val="004D7E84"/>
    <w:rsid w:val="004E0247"/>
    <w:rsid w:val="004E2CE3"/>
    <w:rsid w:val="004E43C1"/>
    <w:rsid w:val="004E784D"/>
    <w:rsid w:val="004F1E23"/>
    <w:rsid w:val="004F4DBF"/>
    <w:rsid w:val="004F517A"/>
    <w:rsid w:val="004F7004"/>
    <w:rsid w:val="004F77F9"/>
    <w:rsid w:val="00500226"/>
    <w:rsid w:val="005004A7"/>
    <w:rsid w:val="0050147F"/>
    <w:rsid w:val="00502135"/>
    <w:rsid w:val="005021E6"/>
    <w:rsid w:val="00502294"/>
    <w:rsid w:val="00506E8A"/>
    <w:rsid w:val="00511B9F"/>
    <w:rsid w:val="00512F3D"/>
    <w:rsid w:val="0051572E"/>
    <w:rsid w:val="00516134"/>
    <w:rsid w:val="0051688B"/>
    <w:rsid w:val="00520A36"/>
    <w:rsid w:val="00523934"/>
    <w:rsid w:val="00524C49"/>
    <w:rsid w:val="00525836"/>
    <w:rsid w:val="00525BBB"/>
    <w:rsid w:val="005307AC"/>
    <w:rsid w:val="0053142F"/>
    <w:rsid w:val="00532E5D"/>
    <w:rsid w:val="00536A7B"/>
    <w:rsid w:val="00542042"/>
    <w:rsid w:val="00543FFB"/>
    <w:rsid w:val="00544647"/>
    <w:rsid w:val="00545C85"/>
    <w:rsid w:val="005469FD"/>
    <w:rsid w:val="00546B61"/>
    <w:rsid w:val="00554724"/>
    <w:rsid w:val="00556593"/>
    <w:rsid w:val="005569E6"/>
    <w:rsid w:val="00556DBC"/>
    <w:rsid w:val="0055760D"/>
    <w:rsid w:val="0056033E"/>
    <w:rsid w:val="005604EA"/>
    <w:rsid w:val="0056111C"/>
    <w:rsid w:val="00561DFB"/>
    <w:rsid w:val="005630EB"/>
    <w:rsid w:val="00563AEA"/>
    <w:rsid w:val="0056500B"/>
    <w:rsid w:val="005654D6"/>
    <w:rsid w:val="00565C5A"/>
    <w:rsid w:val="00565E15"/>
    <w:rsid w:val="005679B6"/>
    <w:rsid w:val="00576D40"/>
    <w:rsid w:val="005804C9"/>
    <w:rsid w:val="005829AC"/>
    <w:rsid w:val="00583C57"/>
    <w:rsid w:val="00583EFA"/>
    <w:rsid w:val="00586340"/>
    <w:rsid w:val="0059015D"/>
    <w:rsid w:val="00593386"/>
    <w:rsid w:val="0059342B"/>
    <w:rsid w:val="0059674C"/>
    <w:rsid w:val="005A0EEC"/>
    <w:rsid w:val="005A4191"/>
    <w:rsid w:val="005A4724"/>
    <w:rsid w:val="005A474F"/>
    <w:rsid w:val="005A48D7"/>
    <w:rsid w:val="005A576C"/>
    <w:rsid w:val="005A688C"/>
    <w:rsid w:val="005B1E96"/>
    <w:rsid w:val="005B257E"/>
    <w:rsid w:val="005B2CF9"/>
    <w:rsid w:val="005B2FFB"/>
    <w:rsid w:val="005B64E6"/>
    <w:rsid w:val="005B69B2"/>
    <w:rsid w:val="005C2AFD"/>
    <w:rsid w:val="005D0A50"/>
    <w:rsid w:val="005D18D7"/>
    <w:rsid w:val="005D2AA8"/>
    <w:rsid w:val="005D382B"/>
    <w:rsid w:val="005D4B94"/>
    <w:rsid w:val="005D62DC"/>
    <w:rsid w:val="005E06B0"/>
    <w:rsid w:val="005E2DF7"/>
    <w:rsid w:val="005E4860"/>
    <w:rsid w:val="005E4CBC"/>
    <w:rsid w:val="005F0E99"/>
    <w:rsid w:val="005F18EA"/>
    <w:rsid w:val="005F1CB0"/>
    <w:rsid w:val="005F248C"/>
    <w:rsid w:val="005F3A0B"/>
    <w:rsid w:val="00601C56"/>
    <w:rsid w:val="0060276A"/>
    <w:rsid w:val="0060441C"/>
    <w:rsid w:val="0060489D"/>
    <w:rsid w:val="0060783F"/>
    <w:rsid w:val="00607F3F"/>
    <w:rsid w:val="00610D47"/>
    <w:rsid w:val="00620E21"/>
    <w:rsid w:val="00621AA0"/>
    <w:rsid w:val="006227DC"/>
    <w:rsid w:val="00626294"/>
    <w:rsid w:val="00626EEE"/>
    <w:rsid w:val="00635092"/>
    <w:rsid w:val="0063688A"/>
    <w:rsid w:val="00641478"/>
    <w:rsid w:val="006445A5"/>
    <w:rsid w:val="00644826"/>
    <w:rsid w:val="00644D51"/>
    <w:rsid w:val="00645518"/>
    <w:rsid w:val="006504B1"/>
    <w:rsid w:val="00652029"/>
    <w:rsid w:val="0065258B"/>
    <w:rsid w:val="00653C19"/>
    <w:rsid w:val="00654024"/>
    <w:rsid w:val="00654D1A"/>
    <w:rsid w:val="006562EA"/>
    <w:rsid w:val="00656378"/>
    <w:rsid w:val="006564BD"/>
    <w:rsid w:val="00656993"/>
    <w:rsid w:val="006574B9"/>
    <w:rsid w:val="006608B4"/>
    <w:rsid w:val="00662065"/>
    <w:rsid w:val="00662333"/>
    <w:rsid w:val="006669D9"/>
    <w:rsid w:val="00683BF6"/>
    <w:rsid w:val="00683D3C"/>
    <w:rsid w:val="006844DD"/>
    <w:rsid w:val="006864FE"/>
    <w:rsid w:val="0069101A"/>
    <w:rsid w:val="00691FE5"/>
    <w:rsid w:val="006926C1"/>
    <w:rsid w:val="0069378E"/>
    <w:rsid w:val="006943D6"/>
    <w:rsid w:val="00696754"/>
    <w:rsid w:val="00696AF9"/>
    <w:rsid w:val="006A0780"/>
    <w:rsid w:val="006A2112"/>
    <w:rsid w:val="006B133B"/>
    <w:rsid w:val="006B169B"/>
    <w:rsid w:val="006B2989"/>
    <w:rsid w:val="006B2C27"/>
    <w:rsid w:val="006B4D58"/>
    <w:rsid w:val="006B5C09"/>
    <w:rsid w:val="006B7843"/>
    <w:rsid w:val="006C1D4F"/>
    <w:rsid w:val="006C4D54"/>
    <w:rsid w:val="006C4F73"/>
    <w:rsid w:val="006D0F48"/>
    <w:rsid w:val="006D1608"/>
    <w:rsid w:val="006D1E91"/>
    <w:rsid w:val="006D2BEE"/>
    <w:rsid w:val="006D3254"/>
    <w:rsid w:val="006D3A1A"/>
    <w:rsid w:val="006E1544"/>
    <w:rsid w:val="006E1D69"/>
    <w:rsid w:val="006E1DF7"/>
    <w:rsid w:val="006E3A6F"/>
    <w:rsid w:val="006E5B1B"/>
    <w:rsid w:val="006E70A3"/>
    <w:rsid w:val="006F0FB3"/>
    <w:rsid w:val="006F16F1"/>
    <w:rsid w:val="006F22EA"/>
    <w:rsid w:val="006F2469"/>
    <w:rsid w:val="006F4584"/>
    <w:rsid w:val="006F4B81"/>
    <w:rsid w:val="006F63FB"/>
    <w:rsid w:val="006F69B4"/>
    <w:rsid w:val="00701ADF"/>
    <w:rsid w:val="00703692"/>
    <w:rsid w:val="007047E7"/>
    <w:rsid w:val="00704AE5"/>
    <w:rsid w:val="00705095"/>
    <w:rsid w:val="00705D5C"/>
    <w:rsid w:val="00706C9D"/>
    <w:rsid w:val="00707210"/>
    <w:rsid w:val="00710843"/>
    <w:rsid w:val="00711351"/>
    <w:rsid w:val="00711521"/>
    <w:rsid w:val="007128C9"/>
    <w:rsid w:val="007163B1"/>
    <w:rsid w:val="007166BB"/>
    <w:rsid w:val="00716FBB"/>
    <w:rsid w:val="00720C14"/>
    <w:rsid w:val="00721349"/>
    <w:rsid w:val="007214DA"/>
    <w:rsid w:val="00724247"/>
    <w:rsid w:val="00731D9B"/>
    <w:rsid w:val="00736421"/>
    <w:rsid w:val="00736ADC"/>
    <w:rsid w:val="00736C6C"/>
    <w:rsid w:val="00737841"/>
    <w:rsid w:val="00737948"/>
    <w:rsid w:val="007427FA"/>
    <w:rsid w:val="007437FC"/>
    <w:rsid w:val="00743B79"/>
    <w:rsid w:val="00745FBE"/>
    <w:rsid w:val="007475D2"/>
    <w:rsid w:val="00756607"/>
    <w:rsid w:val="0075786C"/>
    <w:rsid w:val="00762950"/>
    <w:rsid w:val="007644C4"/>
    <w:rsid w:val="00765A53"/>
    <w:rsid w:val="00765EF8"/>
    <w:rsid w:val="0076731F"/>
    <w:rsid w:val="00767D30"/>
    <w:rsid w:val="007705A1"/>
    <w:rsid w:val="00772083"/>
    <w:rsid w:val="00772955"/>
    <w:rsid w:val="00775886"/>
    <w:rsid w:val="00776BC0"/>
    <w:rsid w:val="00776C8A"/>
    <w:rsid w:val="00777DC9"/>
    <w:rsid w:val="00782B2E"/>
    <w:rsid w:val="007832C9"/>
    <w:rsid w:val="007834FD"/>
    <w:rsid w:val="0078572D"/>
    <w:rsid w:val="00785AEC"/>
    <w:rsid w:val="0078626E"/>
    <w:rsid w:val="0078768A"/>
    <w:rsid w:val="00790C51"/>
    <w:rsid w:val="00796E07"/>
    <w:rsid w:val="0079738C"/>
    <w:rsid w:val="00797FC6"/>
    <w:rsid w:val="007A0EEA"/>
    <w:rsid w:val="007A1692"/>
    <w:rsid w:val="007A22A0"/>
    <w:rsid w:val="007A35A0"/>
    <w:rsid w:val="007B1B5B"/>
    <w:rsid w:val="007B239A"/>
    <w:rsid w:val="007B3611"/>
    <w:rsid w:val="007B39AC"/>
    <w:rsid w:val="007B4072"/>
    <w:rsid w:val="007B4409"/>
    <w:rsid w:val="007B5E66"/>
    <w:rsid w:val="007C1EF3"/>
    <w:rsid w:val="007C2C70"/>
    <w:rsid w:val="007D18E1"/>
    <w:rsid w:val="007D4381"/>
    <w:rsid w:val="007D4551"/>
    <w:rsid w:val="007D62B8"/>
    <w:rsid w:val="007D7A79"/>
    <w:rsid w:val="007E0A68"/>
    <w:rsid w:val="007E0D78"/>
    <w:rsid w:val="007E16F0"/>
    <w:rsid w:val="007E2A85"/>
    <w:rsid w:val="007E5C99"/>
    <w:rsid w:val="007E5DAC"/>
    <w:rsid w:val="007E7060"/>
    <w:rsid w:val="007E7762"/>
    <w:rsid w:val="007F0FDC"/>
    <w:rsid w:val="007F3490"/>
    <w:rsid w:val="007F34DB"/>
    <w:rsid w:val="007F5234"/>
    <w:rsid w:val="007F5BA9"/>
    <w:rsid w:val="008002BD"/>
    <w:rsid w:val="00800490"/>
    <w:rsid w:val="00802138"/>
    <w:rsid w:val="0080240A"/>
    <w:rsid w:val="008034D1"/>
    <w:rsid w:val="00806DE9"/>
    <w:rsid w:val="008078B9"/>
    <w:rsid w:val="00811C22"/>
    <w:rsid w:val="008152DA"/>
    <w:rsid w:val="0081653E"/>
    <w:rsid w:val="00816B7C"/>
    <w:rsid w:val="008249AE"/>
    <w:rsid w:val="00824E88"/>
    <w:rsid w:val="00824F6E"/>
    <w:rsid w:val="00830F62"/>
    <w:rsid w:val="00833C83"/>
    <w:rsid w:val="008375D3"/>
    <w:rsid w:val="00844291"/>
    <w:rsid w:val="008452C9"/>
    <w:rsid w:val="008456EA"/>
    <w:rsid w:val="00845890"/>
    <w:rsid w:val="0085142C"/>
    <w:rsid w:val="0085226A"/>
    <w:rsid w:val="00852295"/>
    <w:rsid w:val="008531BC"/>
    <w:rsid w:val="00853385"/>
    <w:rsid w:val="00854B3A"/>
    <w:rsid w:val="00856CC5"/>
    <w:rsid w:val="00857C7D"/>
    <w:rsid w:val="00861401"/>
    <w:rsid w:val="00867232"/>
    <w:rsid w:val="0086767F"/>
    <w:rsid w:val="00867D08"/>
    <w:rsid w:val="008700B5"/>
    <w:rsid w:val="008702D0"/>
    <w:rsid w:val="00870B44"/>
    <w:rsid w:val="00871D48"/>
    <w:rsid w:val="00872744"/>
    <w:rsid w:val="00872AFA"/>
    <w:rsid w:val="008746CC"/>
    <w:rsid w:val="00875018"/>
    <w:rsid w:val="00876CF3"/>
    <w:rsid w:val="008771A3"/>
    <w:rsid w:val="00877803"/>
    <w:rsid w:val="0088211F"/>
    <w:rsid w:val="00882C16"/>
    <w:rsid w:val="00883560"/>
    <w:rsid w:val="00884830"/>
    <w:rsid w:val="00885CCE"/>
    <w:rsid w:val="00886063"/>
    <w:rsid w:val="0088698C"/>
    <w:rsid w:val="00887D67"/>
    <w:rsid w:val="00891113"/>
    <w:rsid w:val="0089377C"/>
    <w:rsid w:val="008960FA"/>
    <w:rsid w:val="008A27D2"/>
    <w:rsid w:val="008B2222"/>
    <w:rsid w:val="008B45A7"/>
    <w:rsid w:val="008B5433"/>
    <w:rsid w:val="008B72DA"/>
    <w:rsid w:val="008C17B2"/>
    <w:rsid w:val="008C2055"/>
    <w:rsid w:val="008C28A4"/>
    <w:rsid w:val="008C3A45"/>
    <w:rsid w:val="008C3CFA"/>
    <w:rsid w:val="008C4F06"/>
    <w:rsid w:val="008C5171"/>
    <w:rsid w:val="008C76C8"/>
    <w:rsid w:val="008C7B5A"/>
    <w:rsid w:val="008D0800"/>
    <w:rsid w:val="008D1EE0"/>
    <w:rsid w:val="008D5AD4"/>
    <w:rsid w:val="008D5CE8"/>
    <w:rsid w:val="008E0AAA"/>
    <w:rsid w:val="008E1DFC"/>
    <w:rsid w:val="008E21F3"/>
    <w:rsid w:val="008E46FD"/>
    <w:rsid w:val="008E509D"/>
    <w:rsid w:val="008E5384"/>
    <w:rsid w:val="008E558B"/>
    <w:rsid w:val="008F1CBA"/>
    <w:rsid w:val="008F2FDE"/>
    <w:rsid w:val="008F3105"/>
    <w:rsid w:val="008F6B37"/>
    <w:rsid w:val="00900342"/>
    <w:rsid w:val="009008CE"/>
    <w:rsid w:val="0090160A"/>
    <w:rsid w:val="00902311"/>
    <w:rsid w:val="0090544B"/>
    <w:rsid w:val="009121BB"/>
    <w:rsid w:val="00912514"/>
    <w:rsid w:val="00920727"/>
    <w:rsid w:val="009236F5"/>
    <w:rsid w:val="0092371C"/>
    <w:rsid w:val="0092509A"/>
    <w:rsid w:val="0092529C"/>
    <w:rsid w:val="009268B1"/>
    <w:rsid w:val="00930AE5"/>
    <w:rsid w:val="00931F3E"/>
    <w:rsid w:val="00933091"/>
    <w:rsid w:val="00933AB4"/>
    <w:rsid w:val="00935531"/>
    <w:rsid w:val="00942EAF"/>
    <w:rsid w:val="0094455D"/>
    <w:rsid w:val="00946723"/>
    <w:rsid w:val="00947007"/>
    <w:rsid w:val="0095087B"/>
    <w:rsid w:val="00951816"/>
    <w:rsid w:val="00952E5A"/>
    <w:rsid w:val="00955E27"/>
    <w:rsid w:val="009601DB"/>
    <w:rsid w:val="00961C98"/>
    <w:rsid w:val="009626AA"/>
    <w:rsid w:val="00963709"/>
    <w:rsid w:val="009646C5"/>
    <w:rsid w:val="00965612"/>
    <w:rsid w:val="009663E4"/>
    <w:rsid w:val="00966547"/>
    <w:rsid w:val="009736B6"/>
    <w:rsid w:val="00974B1B"/>
    <w:rsid w:val="0097575E"/>
    <w:rsid w:val="00975E2B"/>
    <w:rsid w:val="00976094"/>
    <w:rsid w:val="00984D87"/>
    <w:rsid w:val="0098641F"/>
    <w:rsid w:val="0098648C"/>
    <w:rsid w:val="00986CF9"/>
    <w:rsid w:val="00987B3B"/>
    <w:rsid w:val="00996439"/>
    <w:rsid w:val="00996F4A"/>
    <w:rsid w:val="00997162"/>
    <w:rsid w:val="009A61E1"/>
    <w:rsid w:val="009B120E"/>
    <w:rsid w:val="009B22EF"/>
    <w:rsid w:val="009B29B8"/>
    <w:rsid w:val="009B3AB6"/>
    <w:rsid w:val="009B3ED4"/>
    <w:rsid w:val="009B680E"/>
    <w:rsid w:val="009B6A73"/>
    <w:rsid w:val="009B70A0"/>
    <w:rsid w:val="009C327A"/>
    <w:rsid w:val="009C366B"/>
    <w:rsid w:val="009C4305"/>
    <w:rsid w:val="009C7A4F"/>
    <w:rsid w:val="009D0B26"/>
    <w:rsid w:val="009D123D"/>
    <w:rsid w:val="009D1E41"/>
    <w:rsid w:val="009D3441"/>
    <w:rsid w:val="009E1221"/>
    <w:rsid w:val="009E172B"/>
    <w:rsid w:val="009E1A85"/>
    <w:rsid w:val="009E223A"/>
    <w:rsid w:val="009E24E6"/>
    <w:rsid w:val="009E2730"/>
    <w:rsid w:val="009E580D"/>
    <w:rsid w:val="009E6746"/>
    <w:rsid w:val="009E6F36"/>
    <w:rsid w:val="009F26E4"/>
    <w:rsid w:val="009F2B38"/>
    <w:rsid w:val="009F3A75"/>
    <w:rsid w:val="009F5993"/>
    <w:rsid w:val="009F63AA"/>
    <w:rsid w:val="009F74D9"/>
    <w:rsid w:val="00A0184A"/>
    <w:rsid w:val="00A07172"/>
    <w:rsid w:val="00A072A6"/>
    <w:rsid w:val="00A1030E"/>
    <w:rsid w:val="00A11A7F"/>
    <w:rsid w:val="00A136EA"/>
    <w:rsid w:val="00A146FF"/>
    <w:rsid w:val="00A16399"/>
    <w:rsid w:val="00A164D0"/>
    <w:rsid w:val="00A21703"/>
    <w:rsid w:val="00A2230C"/>
    <w:rsid w:val="00A22827"/>
    <w:rsid w:val="00A23BE3"/>
    <w:rsid w:val="00A25AE7"/>
    <w:rsid w:val="00A27292"/>
    <w:rsid w:val="00A35850"/>
    <w:rsid w:val="00A376FC"/>
    <w:rsid w:val="00A4209E"/>
    <w:rsid w:val="00A43C06"/>
    <w:rsid w:val="00A43F09"/>
    <w:rsid w:val="00A4551E"/>
    <w:rsid w:val="00A45B2F"/>
    <w:rsid w:val="00A46237"/>
    <w:rsid w:val="00A50988"/>
    <w:rsid w:val="00A51B81"/>
    <w:rsid w:val="00A51E28"/>
    <w:rsid w:val="00A52E6C"/>
    <w:rsid w:val="00A5524A"/>
    <w:rsid w:val="00A553BF"/>
    <w:rsid w:val="00A654C5"/>
    <w:rsid w:val="00A67CD4"/>
    <w:rsid w:val="00A72B5F"/>
    <w:rsid w:val="00A757E1"/>
    <w:rsid w:val="00A759F9"/>
    <w:rsid w:val="00A76F72"/>
    <w:rsid w:val="00A814E4"/>
    <w:rsid w:val="00A8171D"/>
    <w:rsid w:val="00A82223"/>
    <w:rsid w:val="00A83821"/>
    <w:rsid w:val="00A83CA3"/>
    <w:rsid w:val="00A8481D"/>
    <w:rsid w:val="00A84EFC"/>
    <w:rsid w:val="00A85B79"/>
    <w:rsid w:val="00A87147"/>
    <w:rsid w:val="00A87DE8"/>
    <w:rsid w:val="00A914E3"/>
    <w:rsid w:val="00A92858"/>
    <w:rsid w:val="00A92887"/>
    <w:rsid w:val="00A93A6E"/>
    <w:rsid w:val="00A946F9"/>
    <w:rsid w:val="00AA0860"/>
    <w:rsid w:val="00AA0B08"/>
    <w:rsid w:val="00AA247F"/>
    <w:rsid w:val="00AA2B6D"/>
    <w:rsid w:val="00AA4CF0"/>
    <w:rsid w:val="00AA5475"/>
    <w:rsid w:val="00AB449E"/>
    <w:rsid w:val="00AB45C4"/>
    <w:rsid w:val="00AB5821"/>
    <w:rsid w:val="00AB5E57"/>
    <w:rsid w:val="00AB66F5"/>
    <w:rsid w:val="00AB6D4D"/>
    <w:rsid w:val="00AC47F8"/>
    <w:rsid w:val="00AC7580"/>
    <w:rsid w:val="00AC7993"/>
    <w:rsid w:val="00AD21C0"/>
    <w:rsid w:val="00AD21EA"/>
    <w:rsid w:val="00AD2917"/>
    <w:rsid w:val="00AD4318"/>
    <w:rsid w:val="00AD6822"/>
    <w:rsid w:val="00AD6E12"/>
    <w:rsid w:val="00AE3E85"/>
    <w:rsid w:val="00AE60F7"/>
    <w:rsid w:val="00AE6561"/>
    <w:rsid w:val="00AE6693"/>
    <w:rsid w:val="00AF1F51"/>
    <w:rsid w:val="00AF267F"/>
    <w:rsid w:val="00AF33A6"/>
    <w:rsid w:val="00AF37A9"/>
    <w:rsid w:val="00AF4E1A"/>
    <w:rsid w:val="00AF6FC3"/>
    <w:rsid w:val="00B01BEE"/>
    <w:rsid w:val="00B049BC"/>
    <w:rsid w:val="00B06FBF"/>
    <w:rsid w:val="00B07896"/>
    <w:rsid w:val="00B13083"/>
    <w:rsid w:val="00B13946"/>
    <w:rsid w:val="00B16DCA"/>
    <w:rsid w:val="00B17390"/>
    <w:rsid w:val="00B24CD6"/>
    <w:rsid w:val="00B25F9C"/>
    <w:rsid w:val="00B264AB"/>
    <w:rsid w:val="00B30A2C"/>
    <w:rsid w:val="00B3745B"/>
    <w:rsid w:val="00B40875"/>
    <w:rsid w:val="00B41516"/>
    <w:rsid w:val="00B436C8"/>
    <w:rsid w:val="00B46994"/>
    <w:rsid w:val="00B46CCE"/>
    <w:rsid w:val="00B47D56"/>
    <w:rsid w:val="00B51F80"/>
    <w:rsid w:val="00B576AC"/>
    <w:rsid w:val="00B61890"/>
    <w:rsid w:val="00B61946"/>
    <w:rsid w:val="00B61CB5"/>
    <w:rsid w:val="00B639A1"/>
    <w:rsid w:val="00B6416D"/>
    <w:rsid w:val="00B642C0"/>
    <w:rsid w:val="00B66DE3"/>
    <w:rsid w:val="00B67036"/>
    <w:rsid w:val="00B67E73"/>
    <w:rsid w:val="00B708A2"/>
    <w:rsid w:val="00B70C98"/>
    <w:rsid w:val="00B7117D"/>
    <w:rsid w:val="00B71D04"/>
    <w:rsid w:val="00B74879"/>
    <w:rsid w:val="00B74B7D"/>
    <w:rsid w:val="00B74BF7"/>
    <w:rsid w:val="00B76E6C"/>
    <w:rsid w:val="00B8115D"/>
    <w:rsid w:val="00B81421"/>
    <w:rsid w:val="00B8187F"/>
    <w:rsid w:val="00B8248B"/>
    <w:rsid w:val="00B848A2"/>
    <w:rsid w:val="00B84AB0"/>
    <w:rsid w:val="00B87C6A"/>
    <w:rsid w:val="00B92AF5"/>
    <w:rsid w:val="00B95801"/>
    <w:rsid w:val="00BA0054"/>
    <w:rsid w:val="00BA07FD"/>
    <w:rsid w:val="00BA423C"/>
    <w:rsid w:val="00BA68E9"/>
    <w:rsid w:val="00BA709B"/>
    <w:rsid w:val="00BB0FAF"/>
    <w:rsid w:val="00BB44F7"/>
    <w:rsid w:val="00BB58B5"/>
    <w:rsid w:val="00BB725C"/>
    <w:rsid w:val="00BB7D6E"/>
    <w:rsid w:val="00BC003E"/>
    <w:rsid w:val="00BC0602"/>
    <w:rsid w:val="00BC23C4"/>
    <w:rsid w:val="00BC2A49"/>
    <w:rsid w:val="00BC2FE5"/>
    <w:rsid w:val="00BC353F"/>
    <w:rsid w:val="00BC77C8"/>
    <w:rsid w:val="00BD02E7"/>
    <w:rsid w:val="00BD2A12"/>
    <w:rsid w:val="00BD3405"/>
    <w:rsid w:val="00BD49D2"/>
    <w:rsid w:val="00BD5F15"/>
    <w:rsid w:val="00BD62F9"/>
    <w:rsid w:val="00BD6447"/>
    <w:rsid w:val="00BD6C61"/>
    <w:rsid w:val="00BD7B79"/>
    <w:rsid w:val="00BE15F7"/>
    <w:rsid w:val="00BE2190"/>
    <w:rsid w:val="00BE2B6E"/>
    <w:rsid w:val="00BE3D20"/>
    <w:rsid w:val="00BF02D6"/>
    <w:rsid w:val="00BF175B"/>
    <w:rsid w:val="00BF1CBA"/>
    <w:rsid w:val="00BF2C14"/>
    <w:rsid w:val="00BF3530"/>
    <w:rsid w:val="00BF3DDD"/>
    <w:rsid w:val="00BF4DBB"/>
    <w:rsid w:val="00BF4FA2"/>
    <w:rsid w:val="00BF583C"/>
    <w:rsid w:val="00BF6FCD"/>
    <w:rsid w:val="00C017FA"/>
    <w:rsid w:val="00C01ED1"/>
    <w:rsid w:val="00C03E76"/>
    <w:rsid w:val="00C0413A"/>
    <w:rsid w:val="00C061BB"/>
    <w:rsid w:val="00C063FA"/>
    <w:rsid w:val="00C069E3"/>
    <w:rsid w:val="00C0709B"/>
    <w:rsid w:val="00C10515"/>
    <w:rsid w:val="00C11AE6"/>
    <w:rsid w:val="00C11D12"/>
    <w:rsid w:val="00C134A4"/>
    <w:rsid w:val="00C134EC"/>
    <w:rsid w:val="00C22FCA"/>
    <w:rsid w:val="00C240F1"/>
    <w:rsid w:val="00C2414B"/>
    <w:rsid w:val="00C24798"/>
    <w:rsid w:val="00C24F38"/>
    <w:rsid w:val="00C2659A"/>
    <w:rsid w:val="00C26CA8"/>
    <w:rsid w:val="00C32160"/>
    <w:rsid w:val="00C33AC1"/>
    <w:rsid w:val="00C355A9"/>
    <w:rsid w:val="00C355DE"/>
    <w:rsid w:val="00C40241"/>
    <w:rsid w:val="00C413BC"/>
    <w:rsid w:val="00C41889"/>
    <w:rsid w:val="00C42340"/>
    <w:rsid w:val="00C43C80"/>
    <w:rsid w:val="00C459B7"/>
    <w:rsid w:val="00C46385"/>
    <w:rsid w:val="00C46B63"/>
    <w:rsid w:val="00C50600"/>
    <w:rsid w:val="00C51DF1"/>
    <w:rsid w:val="00C51EB3"/>
    <w:rsid w:val="00C5234C"/>
    <w:rsid w:val="00C54018"/>
    <w:rsid w:val="00C567FA"/>
    <w:rsid w:val="00C56935"/>
    <w:rsid w:val="00C5728D"/>
    <w:rsid w:val="00C63AC2"/>
    <w:rsid w:val="00C65BCD"/>
    <w:rsid w:val="00C70BFD"/>
    <w:rsid w:val="00C72DB5"/>
    <w:rsid w:val="00C75FF6"/>
    <w:rsid w:val="00C808F1"/>
    <w:rsid w:val="00C829AA"/>
    <w:rsid w:val="00C82B2D"/>
    <w:rsid w:val="00C82C78"/>
    <w:rsid w:val="00C835EE"/>
    <w:rsid w:val="00C86151"/>
    <w:rsid w:val="00C86BD9"/>
    <w:rsid w:val="00C86E20"/>
    <w:rsid w:val="00C870CD"/>
    <w:rsid w:val="00C92186"/>
    <w:rsid w:val="00C92999"/>
    <w:rsid w:val="00C939FC"/>
    <w:rsid w:val="00C93C9F"/>
    <w:rsid w:val="00C97D00"/>
    <w:rsid w:val="00CA0386"/>
    <w:rsid w:val="00CA0A72"/>
    <w:rsid w:val="00CA36C8"/>
    <w:rsid w:val="00CA5562"/>
    <w:rsid w:val="00CB2A53"/>
    <w:rsid w:val="00CB4BE3"/>
    <w:rsid w:val="00CC0733"/>
    <w:rsid w:val="00CC55A1"/>
    <w:rsid w:val="00CD02B2"/>
    <w:rsid w:val="00CD0459"/>
    <w:rsid w:val="00CD095E"/>
    <w:rsid w:val="00CD0A03"/>
    <w:rsid w:val="00CD4981"/>
    <w:rsid w:val="00CD50A0"/>
    <w:rsid w:val="00CD7F12"/>
    <w:rsid w:val="00CE4BDA"/>
    <w:rsid w:val="00CE69CE"/>
    <w:rsid w:val="00CF0CDD"/>
    <w:rsid w:val="00CF1CB6"/>
    <w:rsid w:val="00CF6C97"/>
    <w:rsid w:val="00D002AF"/>
    <w:rsid w:val="00D00A3A"/>
    <w:rsid w:val="00D016A2"/>
    <w:rsid w:val="00D0182D"/>
    <w:rsid w:val="00D02B8E"/>
    <w:rsid w:val="00D03ECE"/>
    <w:rsid w:val="00D07115"/>
    <w:rsid w:val="00D07A00"/>
    <w:rsid w:val="00D10F38"/>
    <w:rsid w:val="00D11B2A"/>
    <w:rsid w:val="00D13791"/>
    <w:rsid w:val="00D176B9"/>
    <w:rsid w:val="00D17BDE"/>
    <w:rsid w:val="00D21BA7"/>
    <w:rsid w:val="00D31625"/>
    <w:rsid w:val="00D3479E"/>
    <w:rsid w:val="00D34812"/>
    <w:rsid w:val="00D36F39"/>
    <w:rsid w:val="00D371AE"/>
    <w:rsid w:val="00D45685"/>
    <w:rsid w:val="00D457A6"/>
    <w:rsid w:val="00D475CF"/>
    <w:rsid w:val="00D47736"/>
    <w:rsid w:val="00D50B2A"/>
    <w:rsid w:val="00D55D03"/>
    <w:rsid w:val="00D648CD"/>
    <w:rsid w:val="00D64D31"/>
    <w:rsid w:val="00D71783"/>
    <w:rsid w:val="00D717B7"/>
    <w:rsid w:val="00D724F6"/>
    <w:rsid w:val="00D7343D"/>
    <w:rsid w:val="00D739AD"/>
    <w:rsid w:val="00D753DB"/>
    <w:rsid w:val="00D75B2F"/>
    <w:rsid w:val="00D8105E"/>
    <w:rsid w:val="00D82D43"/>
    <w:rsid w:val="00D83498"/>
    <w:rsid w:val="00D838E5"/>
    <w:rsid w:val="00D83C34"/>
    <w:rsid w:val="00D90050"/>
    <w:rsid w:val="00D91847"/>
    <w:rsid w:val="00D9221B"/>
    <w:rsid w:val="00D92B9B"/>
    <w:rsid w:val="00D92CFF"/>
    <w:rsid w:val="00D965E9"/>
    <w:rsid w:val="00DA045F"/>
    <w:rsid w:val="00DA3FB7"/>
    <w:rsid w:val="00DA5733"/>
    <w:rsid w:val="00DB0E0C"/>
    <w:rsid w:val="00DB113A"/>
    <w:rsid w:val="00DB4D5B"/>
    <w:rsid w:val="00DC0AD8"/>
    <w:rsid w:val="00DC5896"/>
    <w:rsid w:val="00DC63AC"/>
    <w:rsid w:val="00DC6F17"/>
    <w:rsid w:val="00DC7CC6"/>
    <w:rsid w:val="00DD2BF2"/>
    <w:rsid w:val="00DD399E"/>
    <w:rsid w:val="00DD44B4"/>
    <w:rsid w:val="00DD4CD8"/>
    <w:rsid w:val="00DD77B8"/>
    <w:rsid w:val="00DD7A53"/>
    <w:rsid w:val="00DE16D2"/>
    <w:rsid w:val="00DE4FA6"/>
    <w:rsid w:val="00DE5461"/>
    <w:rsid w:val="00DE5CEE"/>
    <w:rsid w:val="00DE65E3"/>
    <w:rsid w:val="00DE6CD1"/>
    <w:rsid w:val="00DF074A"/>
    <w:rsid w:val="00DF27F8"/>
    <w:rsid w:val="00DF76CA"/>
    <w:rsid w:val="00E00638"/>
    <w:rsid w:val="00E01BAB"/>
    <w:rsid w:val="00E055D5"/>
    <w:rsid w:val="00E1039E"/>
    <w:rsid w:val="00E1153B"/>
    <w:rsid w:val="00E12137"/>
    <w:rsid w:val="00E20B33"/>
    <w:rsid w:val="00E246E6"/>
    <w:rsid w:val="00E2529B"/>
    <w:rsid w:val="00E2578E"/>
    <w:rsid w:val="00E30A08"/>
    <w:rsid w:val="00E31F17"/>
    <w:rsid w:val="00E3366C"/>
    <w:rsid w:val="00E35BA8"/>
    <w:rsid w:val="00E36883"/>
    <w:rsid w:val="00E453D4"/>
    <w:rsid w:val="00E45B1A"/>
    <w:rsid w:val="00E46B34"/>
    <w:rsid w:val="00E503BB"/>
    <w:rsid w:val="00E509C5"/>
    <w:rsid w:val="00E50B50"/>
    <w:rsid w:val="00E54777"/>
    <w:rsid w:val="00E564A5"/>
    <w:rsid w:val="00E56E9F"/>
    <w:rsid w:val="00E56F0D"/>
    <w:rsid w:val="00E60939"/>
    <w:rsid w:val="00E61A46"/>
    <w:rsid w:val="00E62420"/>
    <w:rsid w:val="00E634F0"/>
    <w:rsid w:val="00E63C24"/>
    <w:rsid w:val="00E6425C"/>
    <w:rsid w:val="00E64E9D"/>
    <w:rsid w:val="00E65B73"/>
    <w:rsid w:val="00E718E4"/>
    <w:rsid w:val="00E7224A"/>
    <w:rsid w:val="00E72AB9"/>
    <w:rsid w:val="00E7461F"/>
    <w:rsid w:val="00E74E32"/>
    <w:rsid w:val="00E82EA8"/>
    <w:rsid w:val="00E841C2"/>
    <w:rsid w:val="00E8560E"/>
    <w:rsid w:val="00E864C9"/>
    <w:rsid w:val="00E8693F"/>
    <w:rsid w:val="00E928AA"/>
    <w:rsid w:val="00E95799"/>
    <w:rsid w:val="00E97BFB"/>
    <w:rsid w:val="00EA0A5C"/>
    <w:rsid w:val="00EA281D"/>
    <w:rsid w:val="00EA4721"/>
    <w:rsid w:val="00EA53D2"/>
    <w:rsid w:val="00EA57E1"/>
    <w:rsid w:val="00EA6376"/>
    <w:rsid w:val="00EB075C"/>
    <w:rsid w:val="00EB1529"/>
    <w:rsid w:val="00EB42EE"/>
    <w:rsid w:val="00EB5C9E"/>
    <w:rsid w:val="00EB7B51"/>
    <w:rsid w:val="00EC03F5"/>
    <w:rsid w:val="00EC12ED"/>
    <w:rsid w:val="00EC363D"/>
    <w:rsid w:val="00EC3934"/>
    <w:rsid w:val="00EC4110"/>
    <w:rsid w:val="00EC4F2B"/>
    <w:rsid w:val="00EC65C0"/>
    <w:rsid w:val="00EC68A2"/>
    <w:rsid w:val="00ED24F0"/>
    <w:rsid w:val="00EE01CA"/>
    <w:rsid w:val="00EE2204"/>
    <w:rsid w:val="00EE3DC4"/>
    <w:rsid w:val="00EE4123"/>
    <w:rsid w:val="00EE434D"/>
    <w:rsid w:val="00EE4D5D"/>
    <w:rsid w:val="00EE50ED"/>
    <w:rsid w:val="00EE5491"/>
    <w:rsid w:val="00EE5E88"/>
    <w:rsid w:val="00EE6156"/>
    <w:rsid w:val="00EE6539"/>
    <w:rsid w:val="00EE6E28"/>
    <w:rsid w:val="00EE78ED"/>
    <w:rsid w:val="00EF0D78"/>
    <w:rsid w:val="00EF108E"/>
    <w:rsid w:val="00EF13F9"/>
    <w:rsid w:val="00F018CD"/>
    <w:rsid w:val="00F05487"/>
    <w:rsid w:val="00F10122"/>
    <w:rsid w:val="00F107E9"/>
    <w:rsid w:val="00F1132B"/>
    <w:rsid w:val="00F1181E"/>
    <w:rsid w:val="00F137D3"/>
    <w:rsid w:val="00F15E56"/>
    <w:rsid w:val="00F15FCC"/>
    <w:rsid w:val="00F16B9B"/>
    <w:rsid w:val="00F21A6F"/>
    <w:rsid w:val="00F21E35"/>
    <w:rsid w:val="00F22573"/>
    <w:rsid w:val="00F22F71"/>
    <w:rsid w:val="00F244C2"/>
    <w:rsid w:val="00F244CB"/>
    <w:rsid w:val="00F33666"/>
    <w:rsid w:val="00F3423D"/>
    <w:rsid w:val="00F36C45"/>
    <w:rsid w:val="00F36D09"/>
    <w:rsid w:val="00F406A2"/>
    <w:rsid w:val="00F40843"/>
    <w:rsid w:val="00F42450"/>
    <w:rsid w:val="00F4352C"/>
    <w:rsid w:val="00F43795"/>
    <w:rsid w:val="00F46841"/>
    <w:rsid w:val="00F46851"/>
    <w:rsid w:val="00F47343"/>
    <w:rsid w:val="00F47CCB"/>
    <w:rsid w:val="00F549B6"/>
    <w:rsid w:val="00F55AC4"/>
    <w:rsid w:val="00F5655C"/>
    <w:rsid w:val="00F6175D"/>
    <w:rsid w:val="00F6343E"/>
    <w:rsid w:val="00F663A3"/>
    <w:rsid w:val="00F6751A"/>
    <w:rsid w:val="00F67D5B"/>
    <w:rsid w:val="00F71939"/>
    <w:rsid w:val="00F7528F"/>
    <w:rsid w:val="00F75C54"/>
    <w:rsid w:val="00F7652A"/>
    <w:rsid w:val="00F801CC"/>
    <w:rsid w:val="00F82626"/>
    <w:rsid w:val="00F826A6"/>
    <w:rsid w:val="00F917CD"/>
    <w:rsid w:val="00F92B1C"/>
    <w:rsid w:val="00F942CB"/>
    <w:rsid w:val="00F94618"/>
    <w:rsid w:val="00F95DE8"/>
    <w:rsid w:val="00F96073"/>
    <w:rsid w:val="00F9714E"/>
    <w:rsid w:val="00F97F0E"/>
    <w:rsid w:val="00FA06A2"/>
    <w:rsid w:val="00FA2D29"/>
    <w:rsid w:val="00FA4155"/>
    <w:rsid w:val="00FA4633"/>
    <w:rsid w:val="00FA4AE2"/>
    <w:rsid w:val="00FA5968"/>
    <w:rsid w:val="00FA7E3E"/>
    <w:rsid w:val="00FB0589"/>
    <w:rsid w:val="00FB0CBC"/>
    <w:rsid w:val="00FB2308"/>
    <w:rsid w:val="00FB2DED"/>
    <w:rsid w:val="00FB4CF6"/>
    <w:rsid w:val="00FC1603"/>
    <w:rsid w:val="00FC165E"/>
    <w:rsid w:val="00FC4462"/>
    <w:rsid w:val="00FC6E61"/>
    <w:rsid w:val="00FD0F41"/>
    <w:rsid w:val="00FD20BE"/>
    <w:rsid w:val="00FD4664"/>
    <w:rsid w:val="00FE06E1"/>
    <w:rsid w:val="00FE3807"/>
    <w:rsid w:val="00FE3CFC"/>
    <w:rsid w:val="00FE484B"/>
    <w:rsid w:val="00FE56D3"/>
    <w:rsid w:val="00FE59BA"/>
    <w:rsid w:val="00FE5CDD"/>
    <w:rsid w:val="00FE7CB6"/>
    <w:rsid w:val="00FF0BFC"/>
    <w:rsid w:val="00FF10F4"/>
    <w:rsid w:val="00FF1AF2"/>
    <w:rsid w:val="00FF2038"/>
    <w:rsid w:val="00FF2C82"/>
    <w:rsid w:val="00FF44C6"/>
    <w:rsid w:val="00FF46A8"/>
    <w:rsid w:val="00FF5289"/>
    <w:rsid w:val="00FF62BA"/>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caption" w:qFormat="1"/>
    <w:lsdException w:name="Emphasis"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D648CD"/>
    <w:pPr>
      <w:keepNext/>
      <w:spacing w:before="240" w:after="60"/>
      <w:outlineLvl w:val="0"/>
    </w:pPr>
    <w:rPr>
      <w:rFonts w:ascii="Tw Cen MT Condensed" w:hAnsi="Tw Cen MT Condensed" w:cs="Arial"/>
      <w:bCs/>
      <w:kern w:val="32"/>
      <w:sz w:val="72"/>
      <w:szCs w:val="32"/>
    </w:rPr>
  </w:style>
  <w:style w:type="paragraph" w:styleId="Heading2">
    <w:name w:val="heading 2"/>
    <w:next w:val="Normal"/>
    <w:link w:val="Heading2Char"/>
    <w:qFormat/>
    <w:rsid w:val="009A61E1"/>
    <w:pPr>
      <w:shd w:val="clear" w:color="auto" w:fill="000000"/>
      <w:spacing w:before="480" w:after="240"/>
      <w:outlineLvl w:val="1"/>
    </w:pPr>
    <w:rPr>
      <w:rFonts w:ascii="Tw Cen MT Condensed" w:hAnsi="Tw Cen MT Condensed" w:cs="Arial"/>
      <w:iCs/>
      <w:kern w:val="32"/>
      <w:sz w:val="36"/>
      <w:szCs w:val="28"/>
    </w:rPr>
  </w:style>
  <w:style w:type="paragraph" w:styleId="Heading3">
    <w:name w:val="heading 3"/>
    <w:basedOn w:val="Normal"/>
    <w:next w:val="Normal"/>
    <w:link w:val="Heading3Char"/>
    <w:qFormat/>
    <w:rsid w:val="003C4421"/>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3C4421"/>
    <w:rPr>
      <w:rFonts w:ascii="Tw Cen MT Condensed" w:hAnsi="Tw Cen MT Condensed" w:cs="Arial"/>
      <w:b/>
      <w:bCs/>
      <w:color w:val="808080"/>
      <w:sz w:val="28"/>
      <w:szCs w:val="26"/>
      <w:lang w:val="en-US" w:eastAsia="en-US" w:bidi="ar-SA"/>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486335"/>
    <w:rPr>
      <w:rFonts w:ascii="Tw Cen MT Condensed" w:hAnsi="Tw Cen MT Condensed" w:cs="Arial"/>
      <w:bCs/>
      <w:kern w:val="32"/>
      <w:sz w:val="72"/>
      <w:szCs w:val="32"/>
      <w:lang w:val="en-US" w:eastAsia="en-US" w:bidi="ar-SA"/>
    </w:rPr>
  </w:style>
  <w:style w:type="character" w:customStyle="1" w:styleId="Heading2Char">
    <w:name w:val="Heading 2 Char"/>
    <w:basedOn w:val="Heading1Char"/>
    <w:link w:val="Heading2"/>
    <w:rsid w:val="009A61E1"/>
    <w:rPr>
      <w:rFonts w:ascii="Tw Cen MT Condensed" w:hAnsi="Tw Cen MT Condensed" w:cs="Arial"/>
      <w:bCs/>
      <w:iCs/>
      <w:kern w:val="32"/>
      <w:sz w:val="36"/>
      <w:szCs w:val="28"/>
      <w:shd w:val="clear" w:color="auto" w:fill="000000"/>
      <w:lang w:val="en-US" w:eastAsia="en-US" w:bidi="ar-SA"/>
    </w:rPr>
  </w:style>
  <w:style w:type="paragraph" w:styleId="ListParagraph">
    <w:name w:val="List Paragraph"/>
    <w:basedOn w:val="Normal"/>
    <w:uiPriority w:val="34"/>
    <w:qFormat/>
    <w:rsid w:val="00CC0733"/>
    <w:pPr>
      <w:spacing w:after="200" w:line="276" w:lineRule="auto"/>
      <w:ind w:left="720"/>
      <w:contextualSpacing/>
    </w:pPr>
    <w:rPr>
      <w:rFonts w:asciiTheme="minorHAnsi" w:eastAsiaTheme="minorHAnsi" w:hAnsiTheme="minorHAnsi" w:cstheme="minorBidi"/>
      <w:sz w:val="22"/>
      <w:szCs w:val="22"/>
    </w:rPr>
  </w:style>
  <w:style w:type="paragraph" w:customStyle="1" w:styleId="DefaultText">
    <w:name w:val="Default Text"/>
    <w:basedOn w:val="Normal"/>
    <w:rsid w:val="006F63FB"/>
    <w:pPr>
      <w:overflowPunct w:val="0"/>
      <w:autoSpaceDE w:val="0"/>
      <w:autoSpaceDN w:val="0"/>
      <w:adjustRightInd w:val="0"/>
      <w:spacing w:after="0"/>
      <w:textAlignment w:val="baseline"/>
    </w:pPr>
    <w:rPr>
      <w:rFonts w:ascii="Times New Roman" w:hAnsi="Times New Roman"/>
      <w:szCs w:val="20"/>
    </w:rPr>
  </w:style>
  <w:style w:type="paragraph" w:styleId="NormalWeb">
    <w:name w:val="Normal (Web)"/>
    <w:basedOn w:val="Normal"/>
    <w:uiPriority w:val="99"/>
    <w:unhideWhenUsed/>
    <w:rsid w:val="00525836"/>
    <w:pPr>
      <w:spacing w:before="100" w:beforeAutospacing="1" w:after="100" w:afterAutospacing="1"/>
    </w:pPr>
    <w:rPr>
      <w:rFonts w:ascii="Times New Roman" w:hAnsi="Times New Roman"/>
    </w:rPr>
  </w:style>
  <w:style w:type="paragraph" w:customStyle="1" w:styleId="Normal3Paragraph">
    <w:name w:val="Normal 3 Paragraph"/>
    <w:basedOn w:val="Normal"/>
    <w:link w:val="Normal3ParagraphChar"/>
    <w:qFormat/>
    <w:rsid w:val="00546B61"/>
    <w:pPr>
      <w:suppressAutoHyphens/>
      <w:spacing w:before="120" w:after="120"/>
      <w:ind w:left="360"/>
    </w:pPr>
    <w:rPr>
      <w:rFonts w:ascii="Tw Cen MT" w:hAnsi="Tw Cen MT" w:cs="Arial"/>
      <w:szCs w:val="16"/>
    </w:rPr>
  </w:style>
  <w:style w:type="character" w:customStyle="1" w:styleId="Normal3ParagraphChar">
    <w:name w:val="Normal 3 Paragraph Char"/>
    <w:basedOn w:val="DefaultParagraphFont"/>
    <w:link w:val="Normal3Paragraph"/>
    <w:rsid w:val="00546B61"/>
    <w:rPr>
      <w:rFonts w:ascii="Tw Cen MT" w:hAnsi="Tw Cen MT" w:cs="Arial"/>
      <w:sz w:val="24"/>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caption" w:qFormat="1"/>
    <w:lsdException w:name="Emphasis"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D648CD"/>
    <w:pPr>
      <w:keepNext/>
      <w:spacing w:before="240" w:after="60"/>
      <w:outlineLvl w:val="0"/>
    </w:pPr>
    <w:rPr>
      <w:rFonts w:ascii="Tw Cen MT Condensed" w:hAnsi="Tw Cen MT Condensed" w:cs="Arial"/>
      <w:bCs/>
      <w:kern w:val="32"/>
      <w:sz w:val="72"/>
      <w:szCs w:val="32"/>
    </w:rPr>
  </w:style>
  <w:style w:type="paragraph" w:styleId="Heading2">
    <w:name w:val="heading 2"/>
    <w:next w:val="Normal"/>
    <w:link w:val="Heading2Char"/>
    <w:qFormat/>
    <w:rsid w:val="009A61E1"/>
    <w:pPr>
      <w:shd w:val="clear" w:color="auto" w:fill="000000"/>
      <w:spacing w:before="480" w:after="240"/>
      <w:outlineLvl w:val="1"/>
    </w:pPr>
    <w:rPr>
      <w:rFonts w:ascii="Tw Cen MT Condensed" w:hAnsi="Tw Cen MT Condensed" w:cs="Arial"/>
      <w:iCs/>
      <w:kern w:val="32"/>
      <w:sz w:val="36"/>
      <w:szCs w:val="28"/>
    </w:rPr>
  </w:style>
  <w:style w:type="paragraph" w:styleId="Heading3">
    <w:name w:val="heading 3"/>
    <w:basedOn w:val="Normal"/>
    <w:next w:val="Normal"/>
    <w:link w:val="Heading3Char"/>
    <w:qFormat/>
    <w:rsid w:val="003C4421"/>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3C4421"/>
    <w:rPr>
      <w:rFonts w:ascii="Tw Cen MT Condensed" w:hAnsi="Tw Cen MT Condensed" w:cs="Arial"/>
      <w:b/>
      <w:bCs/>
      <w:color w:val="808080"/>
      <w:sz w:val="28"/>
      <w:szCs w:val="26"/>
      <w:lang w:val="en-US" w:eastAsia="en-US" w:bidi="ar-SA"/>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486335"/>
    <w:rPr>
      <w:rFonts w:ascii="Tw Cen MT Condensed" w:hAnsi="Tw Cen MT Condensed" w:cs="Arial"/>
      <w:bCs/>
      <w:kern w:val="32"/>
      <w:sz w:val="72"/>
      <w:szCs w:val="32"/>
      <w:lang w:val="en-US" w:eastAsia="en-US" w:bidi="ar-SA"/>
    </w:rPr>
  </w:style>
  <w:style w:type="character" w:customStyle="1" w:styleId="Heading2Char">
    <w:name w:val="Heading 2 Char"/>
    <w:basedOn w:val="Heading1Char"/>
    <w:link w:val="Heading2"/>
    <w:rsid w:val="009A61E1"/>
    <w:rPr>
      <w:rFonts w:ascii="Tw Cen MT Condensed" w:hAnsi="Tw Cen MT Condensed" w:cs="Arial"/>
      <w:bCs/>
      <w:iCs/>
      <w:kern w:val="32"/>
      <w:sz w:val="36"/>
      <w:szCs w:val="28"/>
      <w:shd w:val="clear" w:color="auto" w:fill="000000"/>
      <w:lang w:val="en-US" w:eastAsia="en-US" w:bidi="ar-SA"/>
    </w:rPr>
  </w:style>
  <w:style w:type="paragraph" w:styleId="ListParagraph">
    <w:name w:val="List Paragraph"/>
    <w:basedOn w:val="Normal"/>
    <w:uiPriority w:val="34"/>
    <w:qFormat/>
    <w:rsid w:val="00CC0733"/>
    <w:pPr>
      <w:spacing w:after="200" w:line="276" w:lineRule="auto"/>
      <w:ind w:left="720"/>
      <w:contextualSpacing/>
    </w:pPr>
    <w:rPr>
      <w:rFonts w:asciiTheme="minorHAnsi" w:eastAsiaTheme="minorHAnsi" w:hAnsiTheme="minorHAnsi" w:cstheme="minorBidi"/>
      <w:sz w:val="22"/>
      <w:szCs w:val="22"/>
    </w:rPr>
  </w:style>
  <w:style w:type="paragraph" w:customStyle="1" w:styleId="DefaultText">
    <w:name w:val="Default Text"/>
    <w:basedOn w:val="Normal"/>
    <w:rsid w:val="006F63FB"/>
    <w:pPr>
      <w:overflowPunct w:val="0"/>
      <w:autoSpaceDE w:val="0"/>
      <w:autoSpaceDN w:val="0"/>
      <w:adjustRightInd w:val="0"/>
      <w:spacing w:after="0"/>
      <w:textAlignment w:val="baseline"/>
    </w:pPr>
    <w:rPr>
      <w:rFonts w:ascii="Times New Roman" w:hAnsi="Times New Roman"/>
      <w:szCs w:val="20"/>
    </w:rPr>
  </w:style>
  <w:style w:type="paragraph" w:styleId="NormalWeb">
    <w:name w:val="Normal (Web)"/>
    <w:basedOn w:val="Normal"/>
    <w:uiPriority w:val="99"/>
    <w:unhideWhenUsed/>
    <w:rsid w:val="00525836"/>
    <w:pPr>
      <w:spacing w:before="100" w:beforeAutospacing="1" w:after="100" w:afterAutospacing="1"/>
    </w:pPr>
    <w:rPr>
      <w:rFonts w:ascii="Times New Roman" w:hAnsi="Times New Roman"/>
    </w:rPr>
  </w:style>
  <w:style w:type="paragraph" w:customStyle="1" w:styleId="Normal3Paragraph">
    <w:name w:val="Normal 3 Paragraph"/>
    <w:basedOn w:val="Normal"/>
    <w:link w:val="Normal3ParagraphChar"/>
    <w:qFormat/>
    <w:rsid w:val="00546B61"/>
    <w:pPr>
      <w:suppressAutoHyphens/>
      <w:spacing w:before="120" w:after="120"/>
      <w:ind w:left="360"/>
    </w:pPr>
    <w:rPr>
      <w:rFonts w:ascii="Tw Cen MT" w:hAnsi="Tw Cen MT" w:cs="Arial"/>
      <w:szCs w:val="16"/>
    </w:rPr>
  </w:style>
  <w:style w:type="character" w:customStyle="1" w:styleId="Normal3ParagraphChar">
    <w:name w:val="Normal 3 Paragraph Char"/>
    <w:basedOn w:val="DefaultParagraphFont"/>
    <w:link w:val="Normal3Paragraph"/>
    <w:rsid w:val="00546B61"/>
    <w:rPr>
      <w:rFonts w:ascii="Tw Cen MT" w:hAnsi="Tw Cen MT" w:cs="Arial"/>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8496">
      <w:bodyDiv w:val="1"/>
      <w:marLeft w:val="0"/>
      <w:marRight w:val="0"/>
      <w:marTop w:val="0"/>
      <w:marBottom w:val="0"/>
      <w:divBdr>
        <w:top w:val="none" w:sz="0" w:space="0" w:color="auto"/>
        <w:left w:val="none" w:sz="0" w:space="0" w:color="auto"/>
        <w:bottom w:val="none" w:sz="0" w:space="0" w:color="auto"/>
        <w:right w:val="none" w:sz="0" w:space="0" w:color="auto"/>
      </w:divBdr>
    </w:div>
    <w:div w:id="141193365">
      <w:bodyDiv w:val="1"/>
      <w:marLeft w:val="0"/>
      <w:marRight w:val="0"/>
      <w:marTop w:val="0"/>
      <w:marBottom w:val="0"/>
      <w:divBdr>
        <w:top w:val="none" w:sz="0" w:space="0" w:color="auto"/>
        <w:left w:val="none" w:sz="0" w:space="0" w:color="auto"/>
        <w:bottom w:val="none" w:sz="0" w:space="0" w:color="auto"/>
        <w:right w:val="none" w:sz="0" w:space="0" w:color="auto"/>
      </w:divBdr>
    </w:div>
    <w:div w:id="484594569">
      <w:bodyDiv w:val="1"/>
      <w:marLeft w:val="0"/>
      <w:marRight w:val="0"/>
      <w:marTop w:val="0"/>
      <w:marBottom w:val="0"/>
      <w:divBdr>
        <w:top w:val="none" w:sz="0" w:space="0" w:color="auto"/>
        <w:left w:val="none" w:sz="0" w:space="0" w:color="auto"/>
        <w:bottom w:val="none" w:sz="0" w:space="0" w:color="auto"/>
        <w:right w:val="none" w:sz="0" w:space="0" w:color="auto"/>
      </w:divBdr>
    </w:div>
    <w:div w:id="485367591">
      <w:bodyDiv w:val="1"/>
      <w:marLeft w:val="0"/>
      <w:marRight w:val="0"/>
      <w:marTop w:val="0"/>
      <w:marBottom w:val="0"/>
      <w:divBdr>
        <w:top w:val="none" w:sz="0" w:space="0" w:color="auto"/>
        <w:left w:val="none" w:sz="0" w:space="0" w:color="auto"/>
        <w:bottom w:val="none" w:sz="0" w:space="0" w:color="auto"/>
        <w:right w:val="none" w:sz="0" w:space="0" w:color="auto"/>
      </w:divBdr>
    </w:div>
    <w:div w:id="580213588">
      <w:bodyDiv w:val="1"/>
      <w:marLeft w:val="0"/>
      <w:marRight w:val="0"/>
      <w:marTop w:val="0"/>
      <w:marBottom w:val="0"/>
      <w:divBdr>
        <w:top w:val="none" w:sz="0" w:space="0" w:color="auto"/>
        <w:left w:val="none" w:sz="0" w:space="0" w:color="auto"/>
        <w:bottom w:val="none" w:sz="0" w:space="0" w:color="auto"/>
        <w:right w:val="none" w:sz="0" w:space="0" w:color="auto"/>
      </w:divBdr>
    </w:div>
    <w:div w:id="638070872">
      <w:bodyDiv w:val="1"/>
      <w:marLeft w:val="0"/>
      <w:marRight w:val="0"/>
      <w:marTop w:val="0"/>
      <w:marBottom w:val="0"/>
      <w:divBdr>
        <w:top w:val="none" w:sz="0" w:space="0" w:color="auto"/>
        <w:left w:val="none" w:sz="0" w:space="0" w:color="auto"/>
        <w:bottom w:val="none" w:sz="0" w:space="0" w:color="auto"/>
        <w:right w:val="none" w:sz="0" w:space="0" w:color="auto"/>
      </w:divBdr>
    </w:div>
    <w:div w:id="677075641">
      <w:bodyDiv w:val="1"/>
      <w:marLeft w:val="0"/>
      <w:marRight w:val="0"/>
      <w:marTop w:val="0"/>
      <w:marBottom w:val="0"/>
      <w:divBdr>
        <w:top w:val="none" w:sz="0" w:space="0" w:color="auto"/>
        <w:left w:val="none" w:sz="0" w:space="0" w:color="auto"/>
        <w:bottom w:val="none" w:sz="0" w:space="0" w:color="auto"/>
        <w:right w:val="none" w:sz="0" w:space="0" w:color="auto"/>
      </w:divBdr>
    </w:div>
    <w:div w:id="844393653">
      <w:bodyDiv w:val="1"/>
      <w:marLeft w:val="0"/>
      <w:marRight w:val="0"/>
      <w:marTop w:val="0"/>
      <w:marBottom w:val="0"/>
      <w:divBdr>
        <w:top w:val="none" w:sz="0" w:space="0" w:color="auto"/>
        <w:left w:val="none" w:sz="0" w:space="0" w:color="auto"/>
        <w:bottom w:val="none" w:sz="0" w:space="0" w:color="auto"/>
        <w:right w:val="none" w:sz="0" w:space="0" w:color="auto"/>
      </w:divBdr>
    </w:div>
    <w:div w:id="882986073">
      <w:bodyDiv w:val="1"/>
      <w:marLeft w:val="0"/>
      <w:marRight w:val="0"/>
      <w:marTop w:val="0"/>
      <w:marBottom w:val="0"/>
      <w:divBdr>
        <w:top w:val="none" w:sz="0" w:space="0" w:color="auto"/>
        <w:left w:val="none" w:sz="0" w:space="0" w:color="auto"/>
        <w:bottom w:val="none" w:sz="0" w:space="0" w:color="auto"/>
        <w:right w:val="none" w:sz="0" w:space="0" w:color="auto"/>
      </w:divBdr>
    </w:div>
    <w:div w:id="896621467">
      <w:bodyDiv w:val="1"/>
      <w:marLeft w:val="0"/>
      <w:marRight w:val="0"/>
      <w:marTop w:val="0"/>
      <w:marBottom w:val="0"/>
      <w:divBdr>
        <w:top w:val="none" w:sz="0" w:space="0" w:color="auto"/>
        <w:left w:val="none" w:sz="0" w:space="0" w:color="auto"/>
        <w:bottom w:val="none" w:sz="0" w:space="0" w:color="auto"/>
        <w:right w:val="none" w:sz="0" w:space="0" w:color="auto"/>
      </w:divBdr>
    </w:div>
    <w:div w:id="926889236">
      <w:bodyDiv w:val="1"/>
      <w:marLeft w:val="0"/>
      <w:marRight w:val="0"/>
      <w:marTop w:val="0"/>
      <w:marBottom w:val="0"/>
      <w:divBdr>
        <w:top w:val="none" w:sz="0" w:space="0" w:color="auto"/>
        <w:left w:val="none" w:sz="0" w:space="0" w:color="auto"/>
        <w:bottom w:val="none" w:sz="0" w:space="0" w:color="auto"/>
        <w:right w:val="none" w:sz="0" w:space="0" w:color="auto"/>
      </w:divBdr>
    </w:div>
    <w:div w:id="932013217">
      <w:bodyDiv w:val="1"/>
      <w:marLeft w:val="0"/>
      <w:marRight w:val="0"/>
      <w:marTop w:val="0"/>
      <w:marBottom w:val="0"/>
      <w:divBdr>
        <w:top w:val="none" w:sz="0" w:space="0" w:color="auto"/>
        <w:left w:val="none" w:sz="0" w:space="0" w:color="auto"/>
        <w:bottom w:val="none" w:sz="0" w:space="0" w:color="auto"/>
        <w:right w:val="none" w:sz="0" w:space="0" w:color="auto"/>
      </w:divBdr>
    </w:div>
    <w:div w:id="1053890935">
      <w:bodyDiv w:val="1"/>
      <w:marLeft w:val="0"/>
      <w:marRight w:val="0"/>
      <w:marTop w:val="0"/>
      <w:marBottom w:val="0"/>
      <w:divBdr>
        <w:top w:val="none" w:sz="0" w:space="0" w:color="auto"/>
        <w:left w:val="none" w:sz="0" w:space="0" w:color="auto"/>
        <w:bottom w:val="none" w:sz="0" w:space="0" w:color="auto"/>
        <w:right w:val="none" w:sz="0" w:space="0" w:color="auto"/>
      </w:divBdr>
    </w:div>
    <w:div w:id="1194460055">
      <w:bodyDiv w:val="1"/>
      <w:marLeft w:val="0"/>
      <w:marRight w:val="0"/>
      <w:marTop w:val="0"/>
      <w:marBottom w:val="0"/>
      <w:divBdr>
        <w:top w:val="none" w:sz="0" w:space="0" w:color="auto"/>
        <w:left w:val="none" w:sz="0" w:space="0" w:color="auto"/>
        <w:bottom w:val="none" w:sz="0" w:space="0" w:color="auto"/>
        <w:right w:val="none" w:sz="0" w:space="0" w:color="auto"/>
      </w:divBdr>
    </w:div>
    <w:div w:id="1275166272">
      <w:bodyDiv w:val="1"/>
      <w:marLeft w:val="0"/>
      <w:marRight w:val="0"/>
      <w:marTop w:val="0"/>
      <w:marBottom w:val="0"/>
      <w:divBdr>
        <w:top w:val="none" w:sz="0" w:space="0" w:color="auto"/>
        <w:left w:val="none" w:sz="0" w:space="0" w:color="auto"/>
        <w:bottom w:val="none" w:sz="0" w:space="0" w:color="auto"/>
        <w:right w:val="none" w:sz="0" w:space="0" w:color="auto"/>
      </w:divBdr>
    </w:div>
    <w:div w:id="1394965977">
      <w:bodyDiv w:val="1"/>
      <w:marLeft w:val="0"/>
      <w:marRight w:val="0"/>
      <w:marTop w:val="0"/>
      <w:marBottom w:val="0"/>
      <w:divBdr>
        <w:top w:val="none" w:sz="0" w:space="0" w:color="auto"/>
        <w:left w:val="none" w:sz="0" w:space="0" w:color="auto"/>
        <w:bottom w:val="none" w:sz="0" w:space="0" w:color="auto"/>
        <w:right w:val="none" w:sz="0" w:space="0" w:color="auto"/>
      </w:divBdr>
    </w:div>
    <w:div w:id="1423448006">
      <w:bodyDiv w:val="1"/>
      <w:marLeft w:val="0"/>
      <w:marRight w:val="0"/>
      <w:marTop w:val="0"/>
      <w:marBottom w:val="0"/>
      <w:divBdr>
        <w:top w:val="none" w:sz="0" w:space="0" w:color="auto"/>
        <w:left w:val="none" w:sz="0" w:space="0" w:color="auto"/>
        <w:bottom w:val="none" w:sz="0" w:space="0" w:color="auto"/>
        <w:right w:val="none" w:sz="0" w:space="0" w:color="auto"/>
      </w:divBdr>
    </w:div>
    <w:div w:id="1447234502">
      <w:bodyDiv w:val="1"/>
      <w:marLeft w:val="0"/>
      <w:marRight w:val="0"/>
      <w:marTop w:val="0"/>
      <w:marBottom w:val="0"/>
      <w:divBdr>
        <w:top w:val="none" w:sz="0" w:space="0" w:color="auto"/>
        <w:left w:val="none" w:sz="0" w:space="0" w:color="auto"/>
        <w:bottom w:val="none" w:sz="0" w:space="0" w:color="auto"/>
        <w:right w:val="none" w:sz="0" w:space="0" w:color="auto"/>
      </w:divBdr>
    </w:div>
    <w:div w:id="1595551614">
      <w:bodyDiv w:val="1"/>
      <w:marLeft w:val="0"/>
      <w:marRight w:val="0"/>
      <w:marTop w:val="0"/>
      <w:marBottom w:val="0"/>
      <w:divBdr>
        <w:top w:val="none" w:sz="0" w:space="0" w:color="auto"/>
        <w:left w:val="none" w:sz="0" w:space="0" w:color="auto"/>
        <w:bottom w:val="none" w:sz="0" w:space="0" w:color="auto"/>
        <w:right w:val="none" w:sz="0" w:space="0" w:color="auto"/>
      </w:divBdr>
    </w:div>
    <w:div w:id="1621910214">
      <w:bodyDiv w:val="1"/>
      <w:marLeft w:val="0"/>
      <w:marRight w:val="0"/>
      <w:marTop w:val="0"/>
      <w:marBottom w:val="0"/>
      <w:divBdr>
        <w:top w:val="none" w:sz="0" w:space="0" w:color="auto"/>
        <w:left w:val="none" w:sz="0" w:space="0" w:color="auto"/>
        <w:bottom w:val="none" w:sz="0" w:space="0" w:color="auto"/>
        <w:right w:val="none" w:sz="0" w:space="0" w:color="auto"/>
      </w:divBdr>
    </w:div>
    <w:div w:id="1761682002">
      <w:bodyDiv w:val="1"/>
      <w:marLeft w:val="0"/>
      <w:marRight w:val="0"/>
      <w:marTop w:val="0"/>
      <w:marBottom w:val="0"/>
      <w:divBdr>
        <w:top w:val="none" w:sz="0" w:space="0" w:color="auto"/>
        <w:left w:val="none" w:sz="0" w:space="0" w:color="auto"/>
        <w:bottom w:val="none" w:sz="0" w:space="0" w:color="auto"/>
        <w:right w:val="none" w:sz="0" w:space="0" w:color="auto"/>
      </w:divBdr>
    </w:div>
    <w:div w:id="1973747780">
      <w:bodyDiv w:val="1"/>
      <w:marLeft w:val="0"/>
      <w:marRight w:val="0"/>
      <w:marTop w:val="0"/>
      <w:marBottom w:val="0"/>
      <w:divBdr>
        <w:top w:val="none" w:sz="0" w:space="0" w:color="auto"/>
        <w:left w:val="none" w:sz="0" w:space="0" w:color="auto"/>
        <w:bottom w:val="none" w:sz="0" w:space="0" w:color="auto"/>
        <w:right w:val="none" w:sz="0" w:space="0" w:color="auto"/>
      </w:divBdr>
    </w:div>
    <w:div w:id="2031451477">
      <w:bodyDiv w:val="1"/>
      <w:marLeft w:val="0"/>
      <w:marRight w:val="0"/>
      <w:marTop w:val="0"/>
      <w:marBottom w:val="0"/>
      <w:divBdr>
        <w:top w:val="none" w:sz="0" w:space="0" w:color="auto"/>
        <w:left w:val="none" w:sz="0" w:space="0" w:color="auto"/>
        <w:bottom w:val="none" w:sz="0" w:space="0" w:color="auto"/>
        <w:right w:val="none" w:sz="0" w:space="0" w:color="auto"/>
      </w:divBdr>
    </w:div>
    <w:div w:id="21336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microsoft.com/office/2007/relationships/stylesWithEffects" Target="stylesWithEffect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footer" Target="footer2.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Model%20Policy%20Resul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EAP%20Resul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EAP%20Resul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EAP%20Resul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EAP%20Resul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EAP%20Resul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EAP%20Resul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EHAB%20Cost%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EHAB%20Cost%20Resul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EHAB%20Cost%20Resul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EHAB%20Cost%20Result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Federal%20Testing%20Interface%20resul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Federal%20Testing%20Interface%20result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Federal%20Testing%20Interface%20resul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andom%20Testing%20result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andom%20Testing%20resul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Random%20Testing%20result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First%20Accident%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First%20Accident%20Resul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First%20Accident%20Resul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Temp%20Project%20Testing%20result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Temp%20Project%20Testing%20resul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Medical%20Marijuana%20Result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Medical%20Marijuana%20Resul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Medical%20Marijuana%20Results.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Medical%20Marijuana%20Resul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oit-teaqfsemc11.som.w2k.state.me.us\DOL-USERS\mark.dawson\home\My%20Documents\Drug%20testing\TASK%20Force\Survey%20Results\Survey%20Summary%20Demo%20Analysi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manualLayout>
                  <c:x val="-6.34824031345467E-2"/>
                  <c:y val="-4.7448153647749049E-2"/>
                </c:manualLayout>
              </c:layout>
              <c:spPr/>
              <c:txPr>
                <a:bodyPr/>
                <a:lstStyle/>
                <a:p>
                  <a:pPr>
                    <a:defRPr/>
                  </a:pPr>
                  <a:endParaRPr lang="en-US"/>
                </a:p>
              </c:txPr>
              <c:showLegendKey val="0"/>
              <c:showVal val="1"/>
              <c:showCatName val="1"/>
              <c:showSerName val="0"/>
              <c:showPercent val="0"/>
              <c:showBubbleSize val="0"/>
            </c:dLbl>
            <c:dLbl>
              <c:idx val="1"/>
              <c:layout>
                <c:manualLayout>
                  <c:x val="6.5567383610860119E-2"/>
                  <c:y val="-8.2233854634952645E-3"/>
                </c:manualLayout>
              </c:layout>
              <c:showLegendKey val="0"/>
              <c:showVal val="1"/>
              <c:showCatName val="1"/>
              <c:showSerName val="0"/>
              <c:showPercent val="0"/>
              <c:showBubbleSize val="0"/>
            </c:dLbl>
            <c:dLbl>
              <c:idx val="2"/>
              <c:layout>
                <c:manualLayout>
                  <c:x val="0.11629005918957876"/>
                  <c:y val="3.2200762426323006E-2"/>
                </c:manualLayout>
              </c:layout>
              <c:showLegendKey val="0"/>
              <c:showVal val="1"/>
              <c:showCatName val="1"/>
              <c:showSerName val="0"/>
              <c:showPercent val="0"/>
              <c:showBubbleSize val="0"/>
            </c:dLbl>
            <c:dLbl>
              <c:idx val="3"/>
              <c:layout>
                <c:manualLayout>
                  <c:x val="-0.19154578754578755"/>
                  <c:y val="5.5210053518976836E-3"/>
                </c:manualLayout>
              </c:layout>
              <c:tx>
                <c:rich>
                  <a:bodyPr/>
                  <a:lstStyle/>
                  <a:p>
                    <a:r>
                      <a:rPr lang="en-US" sz="1100" b="1">
                        <a:solidFill>
                          <a:schemeClr val="bg1"/>
                        </a:solidFill>
                      </a:rPr>
                      <a:t>Manufacturing, 64</a:t>
                    </a:r>
                  </a:p>
                </c:rich>
              </c:tx>
              <c:showLegendKey val="0"/>
              <c:showVal val="1"/>
              <c:showCatName val="1"/>
              <c:showSerName val="0"/>
              <c:showPercent val="0"/>
              <c:showBubbleSize val="0"/>
            </c:dLbl>
            <c:dLbl>
              <c:idx val="4"/>
              <c:layout>
                <c:manualLayout>
                  <c:x val="-0.15105785379306264"/>
                  <c:y val="-0.22432654254999562"/>
                </c:manualLayout>
              </c:layout>
              <c:tx>
                <c:rich>
                  <a:bodyPr/>
                  <a:lstStyle/>
                  <a:p>
                    <a:r>
                      <a:rPr lang="en-US" sz="1100" b="1">
                        <a:solidFill>
                          <a:schemeClr val="bg1"/>
                        </a:solidFill>
                      </a:rPr>
                      <a:t>Transportation</a:t>
                    </a:r>
                  </a:p>
                  <a:p>
                    <a:r>
                      <a:rPr lang="en-US" sz="1100" b="1">
                        <a:solidFill>
                          <a:schemeClr val="bg1"/>
                        </a:solidFill>
                      </a:rPr>
                      <a:t> Services, 17</a:t>
                    </a:r>
                  </a:p>
                </c:rich>
              </c:tx>
              <c:showLegendKey val="0"/>
              <c:showVal val="1"/>
              <c:showCatName val="1"/>
              <c:showSerName val="0"/>
              <c:showPercent val="0"/>
              <c:showBubbleSize val="0"/>
            </c:dLbl>
            <c:dLbl>
              <c:idx val="5"/>
              <c:layout>
                <c:manualLayout>
                  <c:x val="-0.11143710882293559"/>
                  <c:y val="-0.2734358124504499"/>
                </c:manualLayout>
              </c:layout>
              <c:spPr/>
              <c:txPr>
                <a:bodyPr/>
                <a:lstStyle/>
                <a:p>
                  <a:pPr>
                    <a:defRPr b="1"/>
                  </a:pPr>
                  <a:endParaRPr lang="en-US"/>
                </a:p>
              </c:txPr>
              <c:showLegendKey val="0"/>
              <c:showVal val="1"/>
              <c:showCatName val="1"/>
              <c:showSerName val="0"/>
              <c:showPercent val="0"/>
              <c:showBubbleSize val="0"/>
            </c:dLbl>
            <c:dLbl>
              <c:idx val="6"/>
              <c:layout>
                <c:manualLayout>
                  <c:x val="0.13106164614038629"/>
                  <c:y val="-0.26313317431104138"/>
                </c:manualLayout>
              </c:layout>
              <c:spPr/>
              <c:txPr>
                <a:bodyPr/>
                <a:lstStyle/>
                <a:p>
                  <a:pPr>
                    <a:defRPr b="1">
                      <a:solidFill>
                        <a:schemeClr val="bg1"/>
                      </a:solidFill>
                    </a:defRPr>
                  </a:pPr>
                  <a:endParaRPr lang="en-US"/>
                </a:p>
              </c:txPr>
              <c:showLegendKey val="0"/>
              <c:showVal val="1"/>
              <c:showCatName val="1"/>
              <c:showSerName val="0"/>
              <c:showPercent val="0"/>
              <c:showBubbleSize val="0"/>
            </c:dLbl>
            <c:dLbl>
              <c:idx val="7"/>
              <c:layout>
                <c:manualLayout>
                  <c:x val="7.9729309768466955E-2"/>
                  <c:y val="9.1591881080995252E-2"/>
                </c:manualLayout>
              </c:layout>
              <c:spPr/>
              <c:txPr>
                <a:bodyPr/>
                <a:lstStyle/>
                <a:p>
                  <a:pPr>
                    <a:defRPr/>
                  </a:pPr>
                  <a:endParaRPr lang="en-US"/>
                </a:p>
              </c:txPr>
              <c:showLegendKey val="0"/>
              <c:showVal val="1"/>
              <c:showCatName val="1"/>
              <c:showSerName val="0"/>
              <c:showPercent val="0"/>
              <c:showBubbleSize val="0"/>
            </c:dLbl>
            <c:dLbl>
              <c:idx val="8"/>
              <c:layout>
                <c:manualLayout>
                  <c:x val="1.3767930327868853E-3"/>
                  <c:y val="0.14867256536704537"/>
                </c:manualLayout>
              </c:layout>
              <c:tx>
                <c:rich>
                  <a:bodyPr/>
                  <a:lstStyle/>
                  <a:p>
                    <a:r>
                      <a:rPr lang="en-US"/>
                      <a:t>Nonprofit Organization, 18</a:t>
                    </a:r>
                  </a:p>
                </c:rich>
              </c:tx>
              <c:showLegendKey val="0"/>
              <c:showVal val="1"/>
              <c:showCatName val="1"/>
              <c:showSerName val="0"/>
              <c:showPercent val="0"/>
              <c:showBubbleSize val="0"/>
            </c:dLbl>
            <c:dLbl>
              <c:idx val="9"/>
              <c:layout>
                <c:manualLayout>
                  <c:x val="-4.3607625969830695E-3"/>
                  <c:y val="8.2473362136773656E-2"/>
                </c:manualLayout>
              </c:layout>
              <c:tx>
                <c:rich>
                  <a:bodyPr/>
                  <a:lstStyle/>
                  <a:p>
                    <a:pPr>
                      <a:defRPr/>
                    </a:pPr>
                    <a:r>
                      <a:rPr lang="en-US"/>
                      <a:t>Private</a:t>
                    </a:r>
                  </a:p>
                  <a:p>
                    <a:pPr>
                      <a:defRPr/>
                    </a:pPr>
                    <a:r>
                      <a:rPr lang="en-US"/>
                      <a:t> Individual, 7</a:t>
                    </a:r>
                  </a:p>
                </c:rich>
              </c:tx>
              <c:spPr/>
              <c:showLegendKey val="0"/>
              <c:showVal val="1"/>
              <c:showCatName val="1"/>
              <c:showSerName val="0"/>
              <c:showPercent val="0"/>
              <c:showBubbleSize val="0"/>
            </c:dLbl>
            <c:dLbl>
              <c:idx val="10"/>
              <c:layout>
                <c:manualLayout>
                  <c:x val="-1.8040206512647455E-2"/>
                  <c:y val="-4.3775533992976484E-2"/>
                </c:manualLayout>
              </c:layout>
              <c:tx>
                <c:rich>
                  <a:bodyPr/>
                  <a:lstStyle/>
                  <a:p>
                    <a:pPr>
                      <a:defRPr/>
                    </a:pPr>
                    <a:r>
                      <a:rPr lang="en-US"/>
                      <a:t>Organized</a:t>
                    </a:r>
                  </a:p>
                  <a:p>
                    <a:pPr>
                      <a:defRPr/>
                    </a:pPr>
                    <a:r>
                      <a:rPr lang="en-US"/>
                      <a:t> Labor, 5</a:t>
                    </a:r>
                  </a:p>
                </c:rich>
              </c:tx>
              <c:spPr/>
              <c:dLblPos val="bestFit"/>
              <c:showLegendKey val="0"/>
              <c:showVal val="1"/>
              <c:showCatName val="1"/>
              <c:showSerName val="0"/>
              <c:showPercent val="0"/>
              <c:showBubbleSize val="0"/>
            </c:dLbl>
            <c:dLbl>
              <c:idx val="11"/>
              <c:layout>
                <c:manualLayout>
                  <c:x val="0.12802941939949813"/>
                  <c:y val="8.0234485587706558E-2"/>
                </c:manualLayout>
              </c:layout>
              <c:spPr/>
              <c:txPr>
                <a:bodyPr/>
                <a:lstStyle/>
                <a:p>
                  <a:pPr>
                    <a:defRPr b="1"/>
                  </a:pPr>
                  <a:endParaRPr lang="en-US"/>
                </a:p>
              </c:txPr>
              <c:showLegendKey val="0"/>
              <c:showVal val="1"/>
              <c:showCatName val="1"/>
              <c:showSerName val="0"/>
              <c:showPercent val="0"/>
              <c:showBubbleSize val="0"/>
            </c:dLbl>
            <c:showLegendKey val="0"/>
            <c:showVal val="1"/>
            <c:showCatName val="1"/>
            <c:showSerName val="0"/>
            <c:showPercent val="0"/>
            <c:showBubbleSize val="0"/>
            <c:showLeaderLines val="1"/>
          </c:dLbls>
          <c:cat>
            <c:strRef>
              <c:f>'Respondent Types'!$B$5:$B$16</c:f>
              <c:strCache>
                <c:ptCount val="12"/>
                <c:pt idx="0">
                  <c:v>State Government</c:v>
                </c:pt>
                <c:pt idx="1">
                  <c:v>Local Government</c:v>
                </c:pt>
                <c:pt idx="2">
                  <c:v>Other Public Sector</c:v>
                </c:pt>
                <c:pt idx="3">
                  <c:v>Manufacturing</c:v>
                </c:pt>
                <c:pt idx="4">
                  <c:v>Transportation Services</c:v>
                </c:pt>
                <c:pt idx="5">
                  <c:v>Wholesale/Retail Trade</c:v>
                </c:pt>
                <c:pt idx="6">
                  <c:v>Healthcare/Social Assistance</c:v>
                </c:pt>
                <c:pt idx="7">
                  <c:v>Education</c:v>
                </c:pt>
                <c:pt idx="8">
                  <c:v>Non-Profit Organization</c:v>
                </c:pt>
                <c:pt idx="9">
                  <c:v>Private Individual</c:v>
                </c:pt>
                <c:pt idx="10">
                  <c:v>Organized Labor</c:v>
                </c:pt>
                <c:pt idx="11">
                  <c:v>Other </c:v>
                </c:pt>
              </c:strCache>
            </c:strRef>
          </c:cat>
          <c:val>
            <c:numRef>
              <c:f>'Respondent Types'!$D$5:$D$16</c:f>
              <c:numCache>
                <c:formatCode>General</c:formatCode>
                <c:ptCount val="12"/>
                <c:pt idx="0">
                  <c:v>4</c:v>
                </c:pt>
                <c:pt idx="1">
                  <c:v>13</c:v>
                </c:pt>
                <c:pt idx="2">
                  <c:v>16</c:v>
                </c:pt>
                <c:pt idx="3">
                  <c:v>64</c:v>
                </c:pt>
                <c:pt idx="4">
                  <c:v>17</c:v>
                </c:pt>
                <c:pt idx="5">
                  <c:v>36</c:v>
                </c:pt>
                <c:pt idx="6">
                  <c:v>21</c:v>
                </c:pt>
                <c:pt idx="7">
                  <c:v>5</c:v>
                </c:pt>
                <c:pt idx="8">
                  <c:v>18</c:v>
                </c:pt>
                <c:pt idx="9">
                  <c:v>7</c:v>
                </c:pt>
                <c:pt idx="10">
                  <c:v>5</c:v>
                </c:pt>
                <c:pt idx="11">
                  <c:v>76</c:v>
                </c:pt>
              </c:numCache>
            </c:numRef>
          </c:val>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15"/>
      <c:rotY val="20"/>
      <c:rAngAx val="1"/>
    </c:view3D>
    <c:floor>
      <c:thickness val="0"/>
      <c:spPr>
        <a:solidFill>
          <a:schemeClr val="tx1"/>
        </a:solidFill>
      </c:spPr>
    </c:floor>
    <c:sideWall>
      <c:thickness val="0"/>
    </c:sideWall>
    <c:backWall>
      <c:thickness val="0"/>
    </c:backWall>
    <c:plotArea>
      <c:layout/>
      <c:bar3DChart>
        <c:barDir val="bar"/>
        <c:grouping val="clustered"/>
        <c:varyColors val="0"/>
        <c:ser>
          <c:idx val="0"/>
          <c:order val="0"/>
          <c:invertIfNegative val="0"/>
          <c:dLbls>
            <c:dLbl>
              <c:idx val="0"/>
              <c:layout>
                <c:manualLayout>
                  <c:x val="-6.8624049155562222E-2"/>
                  <c:y val="-8.717948952633392E-3"/>
                </c:manualLayout>
              </c:layout>
              <c:showLegendKey val="0"/>
              <c:showVal val="1"/>
              <c:showCatName val="0"/>
              <c:showSerName val="0"/>
              <c:showPercent val="0"/>
              <c:showBubbleSize val="0"/>
            </c:dLbl>
            <c:dLbl>
              <c:idx val="1"/>
              <c:layout>
                <c:manualLayout>
                  <c:x val="-7.4770107572153674E-2"/>
                  <c:y val="-5.2811092342986534E-3"/>
                </c:manualLayout>
              </c:layout>
              <c:showLegendKey val="0"/>
              <c:showVal val="1"/>
              <c:showCatName val="0"/>
              <c:showSerName val="0"/>
              <c:showPercent val="0"/>
              <c:showBubbleSize val="0"/>
            </c:dLbl>
            <c:dLbl>
              <c:idx val="2"/>
              <c:layout>
                <c:manualLayout>
                  <c:x val="-6.8881990032416018E-2"/>
                  <c:y val="2.9059829842111307E-3"/>
                </c:manualLayout>
              </c:layout>
              <c:showLegendKey val="0"/>
              <c:showVal val="1"/>
              <c:showCatName val="0"/>
              <c:showSerName val="0"/>
              <c:showPercent val="0"/>
              <c:showBubbleSize val="0"/>
            </c:dLbl>
            <c:dLbl>
              <c:idx val="3"/>
              <c:layout>
                <c:manualLayout>
                  <c:x val="-4.9842275364387865E-2"/>
                  <c:y val="0"/>
                </c:manualLayout>
              </c:layout>
              <c:showLegendKey val="0"/>
              <c:showVal val="1"/>
              <c:showCatName val="0"/>
              <c:showSerName val="0"/>
              <c:showPercent val="0"/>
              <c:showBubbleSize val="0"/>
            </c:dLbl>
            <c:dLbl>
              <c:idx val="4"/>
              <c:layout>
                <c:manualLayout>
                  <c:x val="-6.6403563745998484E-2"/>
                  <c:y val="0"/>
                </c:manualLayout>
              </c:layout>
              <c:showLegendKey val="0"/>
              <c:showVal val="1"/>
              <c:showCatName val="0"/>
              <c:showSerName val="0"/>
              <c:showPercent val="0"/>
              <c:showBubbleSize val="0"/>
            </c:dLbl>
            <c:dLbl>
              <c:idx val="5"/>
              <c:layout>
                <c:manualLayout>
                  <c:x val="-6.4526838191703795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'WHY TEST'!$B$2:$B$7</c:f>
              <c:strCache>
                <c:ptCount val="6"/>
                <c:pt idx="0">
                  <c:v>It is required by a significant number of our contracts</c:v>
                </c:pt>
                <c:pt idx="1">
                  <c:v>We believe it helps attract and maintain a high-quality workforce</c:v>
                </c:pt>
                <c:pt idx="2">
                  <c:v>It is part of our safety and health program</c:v>
                </c:pt>
                <c:pt idx="3">
                  <c:v>It helps our customers/patients/clients have more confidence in our services</c:v>
                </c:pt>
                <c:pt idx="4">
                  <c:v>We promote being drug free in our marketing materials</c:v>
                </c:pt>
                <c:pt idx="5">
                  <c:v>We experienced a problem in the past with employee substance abuse and believe testing helps decrease associated problems</c:v>
                </c:pt>
              </c:strCache>
            </c:strRef>
          </c:cat>
          <c:val>
            <c:numRef>
              <c:f>'WHY TEST'!$C$2:$C$7</c:f>
              <c:numCache>
                <c:formatCode>General</c:formatCode>
                <c:ptCount val="6"/>
                <c:pt idx="0">
                  <c:v>36.1</c:v>
                </c:pt>
                <c:pt idx="1">
                  <c:v>62</c:v>
                </c:pt>
                <c:pt idx="2">
                  <c:v>72.2</c:v>
                </c:pt>
                <c:pt idx="3">
                  <c:v>37</c:v>
                </c:pt>
                <c:pt idx="4">
                  <c:v>28.7</c:v>
                </c:pt>
                <c:pt idx="5">
                  <c:v>23.1</c:v>
                </c:pt>
              </c:numCache>
            </c:numRef>
          </c:val>
        </c:ser>
        <c:dLbls>
          <c:showLegendKey val="0"/>
          <c:showVal val="1"/>
          <c:showCatName val="0"/>
          <c:showSerName val="0"/>
          <c:showPercent val="0"/>
          <c:showBubbleSize val="0"/>
        </c:dLbls>
        <c:gapWidth val="150"/>
        <c:shape val="box"/>
        <c:axId val="194859776"/>
        <c:axId val="194863104"/>
        <c:axId val="0"/>
      </c:bar3DChart>
      <c:catAx>
        <c:axId val="194859776"/>
        <c:scaling>
          <c:orientation val="minMax"/>
        </c:scaling>
        <c:delete val="0"/>
        <c:axPos val="l"/>
        <c:majorTickMark val="none"/>
        <c:minorTickMark val="none"/>
        <c:tickLblPos val="low"/>
        <c:txPr>
          <a:bodyPr rot="0"/>
          <a:lstStyle/>
          <a:p>
            <a:pPr>
              <a:defRPr/>
            </a:pPr>
            <a:endParaRPr lang="en-US"/>
          </a:p>
        </c:txPr>
        <c:crossAx val="194863104"/>
        <c:crosses val="autoZero"/>
        <c:auto val="0"/>
        <c:lblAlgn val="l"/>
        <c:lblOffset val="100"/>
        <c:noMultiLvlLbl val="0"/>
      </c:catAx>
      <c:valAx>
        <c:axId val="194863104"/>
        <c:scaling>
          <c:orientation val="minMax"/>
        </c:scaling>
        <c:delete val="1"/>
        <c:axPos val="b"/>
        <c:numFmt formatCode="General" sourceLinked="1"/>
        <c:majorTickMark val="out"/>
        <c:minorTickMark val="none"/>
        <c:tickLblPos val="nextTo"/>
        <c:crossAx val="194859776"/>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15"/>
      <c:rotY val="20"/>
      <c:rAngAx val="1"/>
    </c:view3D>
    <c:floor>
      <c:thickness val="0"/>
      <c:spPr>
        <a:solidFill>
          <a:schemeClr val="tx1"/>
        </a:solidFill>
      </c:spPr>
    </c:floor>
    <c:sideWall>
      <c:thickness val="0"/>
      <c:spPr>
        <a:noFill/>
      </c:spPr>
    </c:sideWall>
    <c:backWall>
      <c:thickness val="0"/>
      <c:spPr>
        <a:noFill/>
      </c:spPr>
    </c:backWall>
    <c:plotArea>
      <c:layout/>
      <c:bar3DChart>
        <c:barDir val="bar"/>
        <c:grouping val="clustered"/>
        <c:varyColors val="0"/>
        <c:ser>
          <c:idx val="0"/>
          <c:order val="0"/>
          <c:invertIfNegative val="0"/>
          <c:dLbls>
            <c:dLbl>
              <c:idx val="0"/>
              <c:layout>
                <c:manualLayout>
                  <c:x val="-5.3475671310316983E-2"/>
                  <c:y val="-9.7518991116853689E-3"/>
                </c:manualLayout>
              </c:layout>
              <c:showLegendKey val="0"/>
              <c:showVal val="1"/>
              <c:showCatName val="0"/>
              <c:showSerName val="0"/>
              <c:showPercent val="0"/>
              <c:showBubbleSize val="0"/>
            </c:dLbl>
            <c:dLbl>
              <c:idx val="1"/>
              <c:layout>
                <c:manualLayout>
                  <c:x val="-5.3485766202301638E-2"/>
                  <c:y val="7.3212744321112253E-3"/>
                </c:manualLayout>
              </c:layout>
              <c:showLegendKey val="0"/>
              <c:showVal val="1"/>
              <c:showCatName val="0"/>
              <c:showSerName val="0"/>
              <c:showPercent val="0"/>
              <c:showBubbleSize val="0"/>
            </c:dLbl>
            <c:dLbl>
              <c:idx val="2"/>
              <c:layout>
                <c:manualLayout>
                  <c:x val="-7.4849922605828123E-2"/>
                  <c:y val="-4.8808496214074832E-3"/>
                </c:manualLayout>
              </c:layout>
              <c:showLegendKey val="0"/>
              <c:showVal val="1"/>
              <c:showCatName val="0"/>
              <c:showSerName val="0"/>
              <c:showPercent val="0"/>
              <c:showBubbleSize val="0"/>
            </c:dLbl>
            <c:dLbl>
              <c:idx val="3"/>
              <c:layout>
                <c:manualLayout>
                  <c:x val="-7.9093310451578164E-2"/>
                  <c:y val="0"/>
                </c:manualLayout>
              </c:layout>
              <c:showLegendKey val="0"/>
              <c:showVal val="1"/>
              <c:showCatName val="0"/>
              <c:showSerName val="0"/>
              <c:showPercent val="0"/>
              <c:showBubbleSize val="0"/>
            </c:dLbl>
            <c:dLbl>
              <c:idx val="4"/>
              <c:layout>
                <c:manualLayout>
                  <c:x val="-7.9123426879332395E-2"/>
                  <c:y val="2.4502249418333617E-3"/>
                </c:manualLayout>
              </c:layout>
              <c:showLegendKey val="0"/>
              <c:showVal val="1"/>
              <c:showCatName val="0"/>
              <c:showSerName val="0"/>
              <c:showPercent val="0"/>
              <c:showBubbleSize val="0"/>
            </c:dLbl>
            <c:txPr>
              <a:bodyPr/>
              <a:lstStyle/>
              <a:p>
                <a:pPr>
                  <a:defRPr sz="1050" b="1"/>
                </a:pPr>
                <a:endParaRPr lang="en-US"/>
              </a:p>
            </c:txPr>
            <c:showLegendKey val="0"/>
            <c:showVal val="1"/>
            <c:showCatName val="0"/>
            <c:showSerName val="0"/>
            <c:showPercent val="0"/>
            <c:showBubbleSize val="0"/>
            <c:showLeaderLines val="0"/>
          </c:dLbls>
          <c:cat>
            <c:strRef>
              <c:f>'Why Not To Test'!$B$2:$B$6</c:f>
              <c:strCache>
                <c:ptCount val="5"/>
                <c:pt idx="0">
                  <c:v>We simply prefer to not do drug testing</c:v>
                </c:pt>
                <c:pt idx="1">
                  <c:v>Potential rehabilitation costs</c:v>
                </c:pt>
                <c:pt idx="2">
                  <c:v>Potential cost of employee assistance programs</c:v>
                </c:pt>
                <c:pt idx="3">
                  <c:v>Our employees are tested under federal drug-testing laws</c:v>
                </c:pt>
                <c:pt idx="4">
                  <c:v>When we suspect substance abuse based on evidence or behavior, we tend to fire that employee because Maine law, as an at-will state, allows us to do so</c:v>
                </c:pt>
              </c:strCache>
            </c:strRef>
          </c:cat>
          <c:val>
            <c:numRef>
              <c:f>'Why Not To Test'!$D$2:$D$6</c:f>
              <c:numCache>
                <c:formatCode>General</c:formatCode>
                <c:ptCount val="5"/>
                <c:pt idx="0">
                  <c:v>8</c:v>
                </c:pt>
                <c:pt idx="1">
                  <c:v>11</c:v>
                </c:pt>
                <c:pt idx="2">
                  <c:v>12</c:v>
                </c:pt>
                <c:pt idx="3">
                  <c:v>14</c:v>
                </c:pt>
                <c:pt idx="4">
                  <c:v>10</c:v>
                </c:pt>
              </c:numCache>
            </c:numRef>
          </c:val>
        </c:ser>
        <c:dLbls>
          <c:showLegendKey val="0"/>
          <c:showVal val="0"/>
          <c:showCatName val="0"/>
          <c:showSerName val="0"/>
          <c:showPercent val="0"/>
          <c:showBubbleSize val="0"/>
        </c:dLbls>
        <c:gapWidth val="75"/>
        <c:shape val="box"/>
        <c:axId val="200275072"/>
        <c:axId val="203034624"/>
        <c:axId val="0"/>
      </c:bar3DChart>
      <c:catAx>
        <c:axId val="200275072"/>
        <c:scaling>
          <c:orientation val="minMax"/>
        </c:scaling>
        <c:delete val="0"/>
        <c:axPos val="l"/>
        <c:majorTickMark val="none"/>
        <c:minorTickMark val="none"/>
        <c:tickLblPos val="nextTo"/>
        <c:crossAx val="203034624"/>
        <c:crosses val="autoZero"/>
        <c:auto val="1"/>
        <c:lblAlgn val="l"/>
        <c:lblOffset val="100"/>
        <c:noMultiLvlLbl val="0"/>
      </c:catAx>
      <c:valAx>
        <c:axId val="203034624"/>
        <c:scaling>
          <c:orientation val="minMax"/>
        </c:scaling>
        <c:delete val="1"/>
        <c:axPos val="b"/>
        <c:majorGridlines>
          <c:spPr>
            <a:ln>
              <a:noFill/>
            </a:ln>
          </c:spPr>
        </c:majorGridlines>
        <c:numFmt formatCode="General" sourceLinked="1"/>
        <c:majorTickMark val="none"/>
        <c:minorTickMark val="none"/>
        <c:tickLblPos val="nextTo"/>
        <c:crossAx val="200275072"/>
        <c:crosses val="autoZero"/>
        <c:crossBetween val="between"/>
      </c:valAx>
      <c:spPr>
        <a:noFill/>
      </c:spPr>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view3D>
      <c:rotX val="15"/>
      <c:rotY val="0"/>
      <c:depthPercent val="100"/>
      <c:rAngAx val="1"/>
    </c:view3D>
    <c:floor>
      <c:thickness val="0"/>
    </c:floor>
    <c:sideWall>
      <c:thickness val="0"/>
    </c:sideWall>
    <c:backWall>
      <c:thickness val="0"/>
    </c:backWall>
    <c:plotArea>
      <c:layout>
        <c:manualLayout>
          <c:layoutTarget val="inner"/>
          <c:xMode val="edge"/>
          <c:yMode val="edge"/>
          <c:x val="0.2520173048001505"/>
          <c:y val="4.9754933474595885E-2"/>
          <c:w val="0.53135005419448444"/>
          <c:h val="0.93052582584590393"/>
        </c:manualLayout>
      </c:layout>
      <c:pie3DChart>
        <c:varyColors val="1"/>
        <c:ser>
          <c:idx val="0"/>
          <c:order val="0"/>
          <c:explosion val="25"/>
          <c:dLbls>
            <c:dLbl>
              <c:idx val="0"/>
              <c:layout>
                <c:manualLayout>
                  <c:x val="-1.6961335799663791E-2"/>
                  <c:y val="-8.8018355615504557E-2"/>
                </c:manualLayout>
              </c:layout>
              <c:showLegendKey val="0"/>
              <c:showVal val="0"/>
              <c:showCatName val="1"/>
              <c:showSerName val="0"/>
              <c:showPercent val="1"/>
              <c:showBubbleSize val="0"/>
            </c:dLbl>
            <c:dLbl>
              <c:idx val="1"/>
              <c:layout>
                <c:manualLayout>
                  <c:x val="-0.14503507604378327"/>
                  <c:y val="0.22102248762592294"/>
                </c:manualLayout>
              </c:layout>
              <c:showLegendKey val="0"/>
              <c:showVal val="0"/>
              <c:showCatName val="1"/>
              <c:showSerName val="0"/>
              <c:showPercent val="1"/>
              <c:showBubbleSize val="0"/>
            </c:dLbl>
            <c:dLbl>
              <c:idx val="2"/>
              <c:layout>
                <c:manualLayout>
                  <c:x val="-2.088195724329317E-2"/>
                  <c:y val="-0.15795371161881905"/>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Summary!$A$4:$A$6</c:f>
              <c:strCache>
                <c:ptCount val="3"/>
                <c:pt idx="0">
                  <c:v>I would prefer to write my own drug testing policy from scratch and send it in for agency review</c:v>
                </c:pt>
                <c:pt idx="1">
                  <c:v>I would prefer to use the model policy template(s) to prepare my drug testing policy for agency review</c:v>
                </c:pt>
                <c:pt idx="2">
                  <c:v>Instead of writing and submitting any policy, I would prefer that BLS establish a uniform model policy for me to follow that would be enforced by BLS, and would only require me to submit a notification of new testing and an annual report to the agency</c:v>
                </c:pt>
              </c:strCache>
            </c:strRef>
          </c:cat>
          <c:val>
            <c:numRef>
              <c:f>Summary!$B$4:$B$6</c:f>
              <c:numCache>
                <c:formatCode>General</c:formatCode>
                <c:ptCount val="3"/>
                <c:pt idx="0">
                  <c:v>11.8</c:v>
                </c:pt>
                <c:pt idx="1">
                  <c:v>41.4</c:v>
                </c:pt>
                <c:pt idx="2">
                  <c:v>46.8</c:v>
                </c:pt>
              </c:numCache>
            </c:numRef>
          </c:val>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3"/>
          <c:order val="3"/>
          <c:explosion val="20"/>
          <c:dLbls>
            <c:dLbl>
              <c:idx val="0"/>
              <c:layout>
                <c:manualLayout>
                  <c:x val="-0.17772583114610674"/>
                  <c:y val="-0.18374781277340332"/>
                </c:manualLayout>
              </c:layout>
              <c:showLegendKey val="0"/>
              <c:showVal val="0"/>
              <c:showCatName val="1"/>
              <c:showSerName val="0"/>
              <c:showPercent val="1"/>
              <c:showBubbleSize val="0"/>
            </c:dLbl>
            <c:dLbl>
              <c:idx val="1"/>
              <c:layout>
                <c:manualLayout>
                  <c:x val="0.12446478565179353"/>
                  <c:y val="5.2670603674540684E-2"/>
                </c:manualLayout>
              </c:layout>
              <c:showLegendKey val="0"/>
              <c:showVal val="0"/>
              <c:showCatName val="1"/>
              <c:showSerName val="0"/>
              <c:showPercent val="1"/>
              <c:showBubbleSize val="0"/>
            </c:dLbl>
            <c:txPr>
              <a:bodyPr/>
              <a:lstStyle/>
              <a:p>
                <a:pPr>
                  <a:defRPr sz="1050" b="1">
                    <a:solidFill>
                      <a:schemeClr val="bg1"/>
                    </a:solidFill>
                  </a:defRPr>
                </a:pPr>
                <a:endParaRPr lang="en-US"/>
              </a:p>
            </c:txPr>
            <c:showLegendKey val="0"/>
            <c:showVal val="0"/>
            <c:showCatName val="1"/>
            <c:showSerName val="0"/>
            <c:showPercent val="1"/>
            <c:showBubbleSize val="0"/>
            <c:showLeaderLines val="1"/>
          </c:dLbls>
          <c:cat>
            <c:strRef>
              <c:f>Summary!$A$4:$A$5</c:f>
              <c:strCache>
                <c:ptCount val="2"/>
                <c:pt idx="0">
                  <c:v>Yes</c:v>
                </c:pt>
                <c:pt idx="1">
                  <c:v>No</c:v>
                </c:pt>
              </c:strCache>
            </c:strRef>
          </c:cat>
          <c:val>
            <c:numRef>
              <c:f>Summary!$B$4:$B$5</c:f>
              <c:numCache>
                <c:formatCode>General</c:formatCode>
                <c:ptCount val="2"/>
                <c:pt idx="0">
                  <c:v>71.7</c:v>
                </c:pt>
                <c:pt idx="1">
                  <c:v>28.3</c:v>
                </c:pt>
              </c:numCache>
            </c:numRef>
          </c:val>
        </c:ser>
        <c:ser>
          <c:idx val="4"/>
          <c:order val="4"/>
          <c:explosion val="25"/>
          <c:dLbls>
            <c:showLegendKey val="0"/>
            <c:showVal val="0"/>
            <c:showCatName val="0"/>
            <c:showSerName val="0"/>
            <c:showPercent val="1"/>
            <c:showBubbleSize val="0"/>
            <c:showLeaderLines val="1"/>
          </c:dLbls>
          <c:cat>
            <c:strRef>
              <c:f>Summary!$A$4:$A$5</c:f>
              <c:strCache>
                <c:ptCount val="2"/>
                <c:pt idx="0">
                  <c:v>Yes</c:v>
                </c:pt>
                <c:pt idx="1">
                  <c:v>No</c:v>
                </c:pt>
              </c:strCache>
            </c:strRef>
          </c:cat>
          <c:val>
            <c:numRef>
              <c:f>Summary!$A$1</c:f>
              <c:numCache>
                <c:formatCode>General</c:formatCode>
                <c:ptCount val="1"/>
                <c:pt idx="0">
                  <c:v>0</c:v>
                </c:pt>
              </c:numCache>
            </c:numRef>
          </c:val>
        </c:ser>
        <c:ser>
          <c:idx val="5"/>
          <c:order val="5"/>
          <c:explosion val="25"/>
          <c:dLbls>
            <c:showLegendKey val="0"/>
            <c:showVal val="0"/>
            <c:showCatName val="0"/>
            <c:showSerName val="0"/>
            <c:showPercent val="1"/>
            <c:showBubbleSize val="0"/>
            <c:showLeaderLines val="1"/>
          </c:dLbls>
          <c:cat>
            <c:strRef>
              <c:f>Summary!$A$4:$A$5</c:f>
              <c:strCache>
                <c:ptCount val="2"/>
                <c:pt idx="0">
                  <c:v>Yes</c:v>
                </c:pt>
                <c:pt idx="1">
                  <c:v>No</c:v>
                </c:pt>
              </c:strCache>
            </c:strRef>
          </c:cat>
          <c:val>
            <c:numRef>
              <c:f>Summary!$A$1</c:f>
              <c:numCache>
                <c:formatCode>General</c:formatCode>
                <c:ptCount val="1"/>
                <c:pt idx="0">
                  <c:v>0</c:v>
                </c:pt>
              </c:numCache>
            </c:numRef>
          </c:val>
        </c:ser>
        <c:ser>
          <c:idx val="0"/>
          <c:order val="0"/>
          <c:explosion val="25"/>
          <c:dLbls>
            <c:showLegendKey val="0"/>
            <c:showVal val="0"/>
            <c:showCatName val="0"/>
            <c:showSerName val="0"/>
            <c:showPercent val="1"/>
            <c:showBubbleSize val="0"/>
            <c:showLeaderLines val="1"/>
          </c:dLbls>
          <c:cat>
            <c:strRef>
              <c:f>Summary!$A$4:$A$5</c:f>
              <c:strCache>
                <c:ptCount val="2"/>
                <c:pt idx="0">
                  <c:v>Yes</c:v>
                </c:pt>
                <c:pt idx="1">
                  <c:v>No</c:v>
                </c:pt>
              </c:strCache>
            </c:strRef>
          </c:cat>
          <c:val>
            <c:numRef>
              <c:f>Summary!$B$4:$B$5</c:f>
              <c:numCache>
                <c:formatCode>General</c:formatCode>
                <c:ptCount val="2"/>
                <c:pt idx="0">
                  <c:v>71.7</c:v>
                </c:pt>
                <c:pt idx="1">
                  <c:v>28.3</c:v>
                </c:pt>
              </c:numCache>
            </c:numRef>
          </c:val>
        </c:ser>
        <c:ser>
          <c:idx val="1"/>
          <c:order val="1"/>
          <c:explosion val="25"/>
          <c:dLbls>
            <c:showLegendKey val="0"/>
            <c:showVal val="0"/>
            <c:showCatName val="0"/>
            <c:showSerName val="0"/>
            <c:showPercent val="1"/>
            <c:showBubbleSize val="0"/>
            <c:showLeaderLines val="1"/>
          </c:dLbls>
          <c:cat>
            <c:strRef>
              <c:f>Summary!$A$4:$A$5</c:f>
              <c:strCache>
                <c:ptCount val="2"/>
                <c:pt idx="0">
                  <c:v>Yes</c:v>
                </c:pt>
                <c:pt idx="1">
                  <c:v>No</c:v>
                </c:pt>
              </c:strCache>
            </c:strRef>
          </c:cat>
          <c:val>
            <c:numRef>
              <c:f>Summary!$A$1</c:f>
              <c:numCache>
                <c:formatCode>General</c:formatCode>
                <c:ptCount val="1"/>
                <c:pt idx="0">
                  <c:v>0</c:v>
                </c:pt>
              </c:numCache>
            </c:numRef>
          </c:val>
        </c:ser>
        <c:ser>
          <c:idx val="2"/>
          <c:order val="2"/>
          <c:explosion val="25"/>
          <c:dLbls>
            <c:showLegendKey val="0"/>
            <c:showVal val="0"/>
            <c:showCatName val="0"/>
            <c:showSerName val="0"/>
            <c:showPercent val="1"/>
            <c:showBubbleSize val="0"/>
            <c:showLeaderLines val="1"/>
          </c:dLbls>
          <c:cat>
            <c:strRef>
              <c:f>Summary!$A$4:$A$5</c:f>
              <c:strCache>
                <c:ptCount val="2"/>
                <c:pt idx="0">
                  <c:v>Yes</c:v>
                </c:pt>
                <c:pt idx="1">
                  <c:v>No</c:v>
                </c:pt>
              </c:strCache>
            </c:strRef>
          </c:cat>
          <c:val>
            <c:numRef>
              <c:f>Summary!$A$1</c:f>
              <c:numCache>
                <c:formatCode>General</c:formatCode>
                <c:ptCount val="1"/>
                <c:pt idx="0">
                  <c:v>0</c:v>
                </c:pt>
              </c:numCache>
            </c:numRef>
          </c:val>
        </c:ser>
        <c:dLbls>
          <c:showLegendKey val="0"/>
          <c:showVal val="0"/>
          <c:showCatName val="0"/>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7291666666666666"/>
          <c:y val="0.24973937007874011"/>
          <c:w val="0.70833333333333337"/>
          <c:h val="0.62602125984251966"/>
        </c:manualLayout>
      </c:layout>
      <c:pie3DChart>
        <c:varyColors val="1"/>
        <c:ser>
          <c:idx val="0"/>
          <c:order val="0"/>
          <c:explosion val="18"/>
          <c:dLbls>
            <c:dLbl>
              <c:idx val="0"/>
              <c:layout>
                <c:manualLayout>
                  <c:x val="-0.12758967629046369"/>
                  <c:y val="-0.23848891378243733"/>
                </c:manualLayout>
              </c:layout>
              <c:spPr/>
              <c:txPr>
                <a:bodyPr/>
                <a:lstStyle/>
                <a:p>
                  <a:pPr>
                    <a:defRPr b="1">
                      <a:solidFill>
                        <a:schemeClr val="bg1"/>
                      </a:solidFill>
                    </a:defRPr>
                  </a:pPr>
                  <a:endParaRPr lang="en-US"/>
                </a:p>
              </c:txPr>
              <c:showLegendKey val="0"/>
              <c:showVal val="0"/>
              <c:showCatName val="1"/>
              <c:showSerName val="0"/>
              <c:showPercent val="1"/>
              <c:showBubbleSize val="0"/>
            </c:dLbl>
            <c:dLbl>
              <c:idx val="1"/>
              <c:layout>
                <c:manualLayout>
                  <c:x val="-3.1995242782152211E-2"/>
                  <c:y val="-5.5833070866141733E-2"/>
                </c:manualLayout>
              </c:layout>
              <c:showLegendKey val="0"/>
              <c:showVal val="0"/>
              <c:showCatName val="1"/>
              <c:showSerName val="0"/>
              <c:showPercent val="1"/>
              <c:showBubbleSize val="0"/>
            </c:dLbl>
            <c:dLbl>
              <c:idx val="2"/>
              <c:layout>
                <c:manualLayout>
                  <c:x val="3.3498031496062994E-2"/>
                  <c:y val="-5.1244094488188979E-2"/>
                </c:manualLayout>
              </c:layout>
              <c:showLegendKey val="0"/>
              <c:showVal val="0"/>
              <c:showCatName val="1"/>
              <c:showSerName val="0"/>
              <c:showPercent val="1"/>
              <c:showBubbleSize val="0"/>
            </c:dLbl>
            <c:dLbl>
              <c:idx val="3"/>
              <c:layout>
                <c:manualLayout>
                  <c:x val="0.20226596675415573"/>
                  <c:y val="-1.7301832729177762E-3"/>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Summary!$A$25:$A$28</c:f>
              <c:strCache>
                <c:ptCount val="4"/>
                <c:pt idx="0">
                  <c:v>Less than $1,000</c:v>
                </c:pt>
                <c:pt idx="1">
                  <c:v>$1,000 to $4,999</c:v>
                </c:pt>
                <c:pt idx="2">
                  <c:v>$5,000 to $10,000</c:v>
                </c:pt>
                <c:pt idx="3">
                  <c:v>Greater than $10,000</c:v>
                </c:pt>
              </c:strCache>
            </c:strRef>
          </c:cat>
          <c:val>
            <c:numRef>
              <c:f>Summary!$B$25:$B$28</c:f>
              <c:numCache>
                <c:formatCode>General</c:formatCode>
                <c:ptCount val="4"/>
                <c:pt idx="0">
                  <c:v>83.2</c:v>
                </c:pt>
                <c:pt idx="1">
                  <c:v>10.9</c:v>
                </c:pt>
                <c:pt idx="2">
                  <c:v>4</c:v>
                </c:pt>
                <c:pt idx="3">
                  <c:v>2</c:v>
                </c:pt>
              </c:numCache>
            </c:numRef>
          </c:val>
        </c:ser>
        <c:dLbls>
          <c:showLegendKey val="0"/>
          <c:showVal val="0"/>
          <c:showCatName val="0"/>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000" b="0"/>
            </a:pPr>
            <a:r>
              <a:rPr lang="en-US" sz="1000" b="0"/>
              <a:t>(By Percentage)</a:t>
            </a:r>
          </a:p>
        </c:rich>
      </c:tx>
      <c:layout>
        <c:manualLayout>
          <c:xMode val="edge"/>
          <c:yMode val="edge"/>
          <c:x val="0.48281872361114153"/>
          <c:y val="0.83333333333333337"/>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41007807568357751"/>
          <c:y val="3.0092592592592528E-3"/>
          <c:w val="0.56614574719697774"/>
          <c:h val="0.72360345581802277"/>
        </c:manualLayout>
      </c:layout>
      <c:bar3DChart>
        <c:barDir val="bar"/>
        <c:grouping val="clustered"/>
        <c:varyColors val="0"/>
        <c:ser>
          <c:idx val="0"/>
          <c:order val="0"/>
          <c:invertIfNegative val="0"/>
          <c:dLbls>
            <c:dLbl>
              <c:idx val="0"/>
              <c:layout>
                <c:manualLayout>
                  <c:x val="-5.4828384830835672E-2"/>
                  <c:y val="-4.6296296296296294E-3"/>
                </c:manualLayout>
              </c:layout>
              <c:showLegendKey val="0"/>
              <c:showVal val="1"/>
              <c:showCatName val="0"/>
              <c:showSerName val="0"/>
              <c:showPercent val="0"/>
              <c:showBubbleSize val="0"/>
            </c:dLbl>
            <c:dLbl>
              <c:idx val="1"/>
              <c:layout>
                <c:manualLayout>
                  <c:x val="-5.2742681191041224E-2"/>
                  <c:y val="0"/>
                </c:manualLayout>
              </c:layout>
              <c:showLegendKey val="0"/>
              <c:showVal val="1"/>
              <c:showCatName val="0"/>
              <c:showSerName val="0"/>
              <c:showPercent val="0"/>
              <c:showBubbleSize val="0"/>
            </c:dLbl>
            <c:dLbl>
              <c:idx val="2"/>
              <c:layout>
                <c:manualLayout>
                  <c:x val="-5.9045952894746102E-2"/>
                  <c:y val="-4.6296296296296294E-3"/>
                </c:manualLayout>
              </c:layout>
              <c:showLegendKey val="0"/>
              <c:showVal val="1"/>
              <c:showCatName val="0"/>
              <c:showSerName val="0"/>
              <c:showPercent val="0"/>
              <c:showBubbleSize val="0"/>
            </c:dLbl>
            <c:txPr>
              <a:bodyPr/>
              <a:lstStyle/>
              <a:p>
                <a:pPr>
                  <a:defRPr sz="1100" b="1">
                    <a:solidFill>
                      <a:schemeClr val="bg1"/>
                    </a:solidFill>
                  </a:defRPr>
                </a:pPr>
                <a:endParaRPr lang="en-US"/>
              </a:p>
            </c:txPr>
            <c:showLegendKey val="0"/>
            <c:showVal val="1"/>
            <c:showCatName val="0"/>
            <c:showSerName val="0"/>
            <c:showPercent val="0"/>
            <c:showBubbleSize val="0"/>
            <c:showLeaderLines val="0"/>
          </c:dLbls>
          <c:cat>
            <c:strRef>
              <c:f>Summary!$A$36:$A$38</c:f>
              <c:strCache>
                <c:ptCount val="3"/>
                <c:pt idx="0">
                  <c:v>Yes</c:v>
                </c:pt>
                <c:pt idx="1">
                  <c:v>Yes, if the overall cost is less than that of our EAP</c:v>
                </c:pt>
                <c:pt idx="2">
                  <c:v>No, there are other good reasons for keeping our EAP</c:v>
                </c:pt>
              </c:strCache>
            </c:strRef>
          </c:cat>
          <c:val>
            <c:numRef>
              <c:f>Summary!$B$36:$B$38</c:f>
              <c:numCache>
                <c:formatCode>General</c:formatCode>
                <c:ptCount val="3"/>
                <c:pt idx="0">
                  <c:v>15.6</c:v>
                </c:pt>
                <c:pt idx="1">
                  <c:v>13.9</c:v>
                </c:pt>
                <c:pt idx="2">
                  <c:v>70.5</c:v>
                </c:pt>
              </c:numCache>
            </c:numRef>
          </c:val>
        </c:ser>
        <c:dLbls>
          <c:showLegendKey val="0"/>
          <c:showVal val="0"/>
          <c:showCatName val="0"/>
          <c:showSerName val="0"/>
          <c:showPercent val="0"/>
          <c:showBubbleSize val="0"/>
        </c:dLbls>
        <c:gapWidth val="150"/>
        <c:shape val="box"/>
        <c:axId val="34055296"/>
        <c:axId val="34053504"/>
        <c:axId val="0"/>
      </c:bar3DChart>
      <c:valAx>
        <c:axId val="34053504"/>
        <c:scaling>
          <c:orientation val="minMax"/>
        </c:scaling>
        <c:delete val="1"/>
        <c:axPos val="b"/>
        <c:majorGridlines>
          <c:spPr>
            <a:ln>
              <a:noFill/>
            </a:ln>
          </c:spPr>
        </c:majorGridlines>
        <c:numFmt formatCode="General" sourceLinked="1"/>
        <c:majorTickMark val="none"/>
        <c:minorTickMark val="none"/>
        <c:tickLblPos val="nextTo"/>
        <c:crossAx val="34055296"/>
        <c:crosses val="autoZero"/>
        <c:crossBetween val="between"/>
      </c:valAx>
      <c:catAx>
        <c:axId val="34055296"/>
        <c:scaling>
          <c:orientation val="minMax"/>
        </c:scaling>
        <c:delete val="0"/>
        <c:axPos val="l"/>
        <c:majorTickMark val="none"/>
        <c:minorTickMark val="none"/>
        <c:tickLblPos val="nextTo"/>
        <c:crossAx val="34053504"/>
        <c:crosses val="autoZero"/>
        <c:auto val="1"/>
        <c:lblAlgn val="ctr"/>
        <c:lblOffset val="100"/>
        <c:noMultiLvlLbl val="0"/>
      </c:catAx>
      <c:spPr>
        <a:ln>
          <a:noFill/>
        </a:ln>
      </c:spPr>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000" b="0"/>
            </a:pPr>
            <a:r>
              <a:rPr lang="en-US" sz="1000" b="0"/>
              <a:t>(By Percentage)</a:t>
            </a:r>
          </a:p>
        </c:rich>
      </c:tx>
      <c:layout>
        <c:manualLayout>
          <c:xMode val="edge"/>
          <c:yMode val="edge"/>
          <c:x val="0.57510161096159684"/>
          <c:y val="0.77382921550004236"/>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43328811521273991"/>
          <c:y val="8.9584636207496265E-2"/>
          <c:w val="0.54189332918402844"/>
          <c:h val="0.67201719299509988"/>
        </c:manualLayout>
      </c:layout>
      <c:bar3DChart>
        <c:barDir val="bar"/>
        <c:grouping val="clustered"/>
        <c:varyColors val="0"/>
        <c:ser>
          <c:idx val="0"/>
          <c:order val="0"/>
          <c:invertIfNegative val="0"/>
          <c:dPt>
            <c:idx val="2"/>
            <c:invertIfNegative val="0"/>
            <c:bubble3D val="0"/>
            <c:explosion val="6"/>
          </c:dPt>
          <c:dLbls>
            <c:dLbl>
              <c:idx val="0"/>
              <c:layout>
                <c:manualLayout>
                  <c:x val="-3.421828809205258E-2"/>
                  <c:y val="-8.3911068732021092E-17"/>
                </c:manualLayout>
              </c:layout>
              <c:showLegendKey val="0"/>
              <c:showVal val="1"/>
              <c:showCatName val="0"/>
              <c:showSerName val="0"/>
              <c:showPercent val="0"/>
              <c:showBubbleSize val="0"/>
            </c:dLbl>
            <c:dLbl>
              <c:idx val="1"/>
              <c:layout>
                <c:manualLayout>
                  <c:x val="-6.4159290172598596E-2"/>
                  <c:y val="0"/>
                </c:manualLayout>
              </c:layout>
              <c:showLegendKey val="0"/>
              <c:showVal val="1"/>
              <c:showCatName val="0"/>
              <c:showSerName val="0"/>
              <c:showPercent val="0"/>
              <c:showBubbleSize val="0"/>
            </c:dLbl>
            <c:dLbl>
              <c:idx val="2"/>
              <c:layout>
                <c:manualLayout>
                  <c:x val="-5.7743361155338735E-2"/>
                  <c:y val="-4.5770202589007726E-3"/>
                </c:manualLayout>
              </c:layout>
              <c:showLegendKey val="0"/>
              <c:showVal val="1"/>
              <c:showCatName val="0"/>
              <c:showSerName val="0"/>
              <c:showPercent val="0"/>
              <c:showBubbleSize val="0"/>
            </c:dLbl>
            <c:txPr>
              <a:bodyPr/>
              <a:lstStyle/>
              <a:p>
                <a:pPr>
                  <a:defRPr sz="1100" b="1">
                    <a:solidFill>
                      <a:schemeClr val="bg1"/>
                    </a:solidFill>
                  </a:defRPr>
                </a:pPr>
                <a:endParaRPr lang="en-US"/>
              </a:p>
            </c:txPr>
            <c:showLegendKey val="0"/>
            <c:showVal val="1"/>
            <c:showCatName val="0"/>
            <c:showSerName val="0"/>
            <c:showPercent val="0"/>
            <c:showBubbleSize val="0"/>
            <c:showLeaderLines val="0"/>
          </c:dLbls>
          <c:cat>
            <c:strRef>
              <c:f>Summary!$A$48:$A$50</c:f>
              <c:strCache>
                <c:ptCount val="3"/>
                <c:pt idx="0">
                  <c:v>Yes, we do it now but we do not have an EAP</c:v>
                </c:pt>
                <c:pt idx="1">
                  <c:v>Yes, we do it now in addition to having an EAP</c:v>
                </c:pt>
                <c:pt idx="2">
                  <c:v>No, we do not do any additional drug abuse or prevention programs</c:v>
                </c:pt>
              </c:strCache>
            </c:strRef>
          </c:cat>
          <c:val>
            <c:numRef>
              <c:f>Summary!$B$48:$B$50</c:f>
              <c:numCache>
                <c:formatCode>General</c:formatCode>
                <c:ptCount val="3"/>
                <c:pt idx="0">
                  <c:v>5.7</c:v>
                </c:pt>
                <c:pt idx="1">
                  <c:v>22.4</c:v>
                </c:pt>
                <c:pt idx="2">
                  <c:v>71.900000000000006</c:v>
                </c:pt>
              </c:numCache>
            </c:numRef>
          </c:val>
        </c:ser>
        <c:dLbls>
          <c:showLegendKey val="0"/>
          <c:showVal val="0"/>
          <c:showCatName val="0"/>
          <c:showSerName val="0"/>
          <c:showPercent val="0"/>
          <c:showBubbleSize val="0"/>
        </c:dLbls>
        <c:gapWidth val="150"/>
        <c:shape val="box"/>
        <c:axId val="34069504"/>
        <c:axId val="34067968"/>
        <c:axId val="0"/>
      </c:bar3DChart>
      <c:valAx>
        <c:axId val="34067968"/>
        <c:scaling>
          <c:orientation val="minMax"/>
        </c:scaling>
        <c:delete val="1"/>
        <c:axPos val="b"/>
        <c:majorGridlines>
          <c:spPr>
            <a:ln>
              <a:noFill/>
            </a:ln>
          </c:spPr>
        </c:majorGridlines>
        <c:numFmt formatCode="General" sourceLinked="1"/>
        <c:majorTickMark val="none"/>
        <c:minorTickMark val="none"/>
        <c:tickLblPos val="nextTo"/>
        <c:crossAx val="34069504"/>
        <c:crosses val="autoZero"/>
        <c:crossBetween val="between"/>
      </c:valAx>
      <c:catAx>
        <c:axId val="34069504"/>
        <c:scaling>
          <c:orientation val="minMax"/>
        </c:scaling>
        <c:delete val="0"/>
        <c:axPos val="l"/>
        <c:majorTickMark val="none"/>
        <c:minorTickMark val="none"/>
        <c:tickLblPos val="nextTo"/>
        <c:crossAx val="34067968"/>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000" b="0"/>
            </a:pPr>
            <a:r>
              <a:rPr lang="en-US" sz="1000" b="0"/>
              <a:t>(By Percentage)</a:t>
            </a:r>
          </a:p>
        </c:rich>
      </c:tx>
      <c:layout>
        <c:manualLayout>
          <c:xMode val="edge"/>
          <c:yMode val="edge"/>
          <c:x val="0.59478805513733324"/>
          <c:y val="0.84848484848484851"/>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48095364936204843"/>
          <c:y val="1.9662440281315374E-2"/>
          <c:w val="0.4789266065488017"/>
          <c:h val="0.75360663613561774"/>
        </c:manualLayout>
      </c:layout>
      <c:bar3DChart>
        <c:barDir val="bar"/>
        <c:grouping val="clustered"/>
        <c:varyColors val="0"/>
        <c:ser>
          <c:idx val="0"/>
          <c:order val="0"/>
          <c:invertIfNegative val="0"/>
          <c:dLbls>
            <c:dLbl>
              <c:idx val="0"/>
              <c:layout>
                <c:manualLayout>
                  <c:x val="-9.11064207303037E-2"/>
                  <c:y val="-3.9829601179914497E-3"/>
                </c:manualLayout>
              </c:layout>
              <c:showLegendKey val="0"/>
              <c:showVal val="1"/>
              <c:showCatName val="0"/>
              <c:showSerName val="0"/>
              <c:showPercent val="0"/>
              <c:showBubbleSize val="0"/>
            </c:dLbl>
            <c:dLbl>
              <c:idx val="1"/>
              <c:layout>
                <c:manualLayout>
                  <c:x val="-5.9917354153434424E-2"/>
                  <c:y val="-7.2281617241525603E-3"/>
                </c:manualLayout>
              </c:layout>
              <c:showLegendKey val="0"/>
              <c:showVal val="1"/>
              <c:showCatName val="0"/>
              <c:showSerName val="0"/>
              <c:showPercent val="0"/>
              <c:showBubbleSize val="0"/>
            </c:dLbl>
            <c:dLbl>
              <c:idx val="2"/>
              <c:layout>
                <c:manualLayout>
                  <c:x val="-0.11241502124923368"/>
                  <c:y val="-2.0504383502159568E-3"/>
                </c:manualLayout>
              </c:layout>
              <c:showLegendKey val="0"/>
              <c:showVal val="1"/>
              <c:showCatName val="0"/>
              <c:showSerName val="0"/>
              <c:showPercent val="0"/>
              <c:showBubbleSize val="0"/>
            </c:dLbl>
            <c:dLbl>
              <c:idx val="3"/>
              <c:layout>
                <c:manualLayout>
                  <c:x val="-8.9876031230151546E-2"/>
                  <c:y val="-1.0668019275929794E-2"/>
                </c:manualLayout>
              </c:layout>
              <c:showLegendKey val="0"/>
              <c:showVal val="1"/>
              <c:showCatName val="0"/>
              <c:showSerName val="0"/>
              <c:showPercent val="0"/>
              <c:showBubbleSize val="0"/>
            </c:dLbl>
            <c:txPr>
              <a:bodyPr/>
              <a:lstStyle/>
              <a:p>
                <a:pPr>
                  <a:defRPr sz="1100" b="1">
                    <a:solidFill>
                      <a:schemeClr val="bg1"/>
                    </a:solidFill>
                  </a:defRPr>
                </a:pPr>
                <a:endParaRPr lang="en-US"/>
              </a:p>
            </c:txPr>
            <c:showLegendKey val="0"/>
            <c:showVal val="1"/>
            <c:showCatName val="0"/>
            <c:showSerName val="0"/>
            <c:showPercent val="0"/>
            <c:showBubbleSize val="0"/>
            <c:showLeaderLines val="0"/>
          </c:dLbls>
          <c:cat>
            <c:strRef>
              <c:f>Summary!$A$59:$A$62</c:f>
              <c:strCache>
                <c:ptCount val="4"/>
                <c:pt idx="0">
                  <c:v>Yes, if  cost and time commitments are manageable</c:v>
                </c:pt>
                <c:pt idx="1">
                  <c:v>Yes we would like to explore alternatives to what we provide now</c:v>
                </c:pt>
                <c:pt idx="2">
                  <c:v>No, we have access to those kinds of  programs already</c:v>
                </c:pt>
                <c:pt idx="3">
                  <c:v>No, we are not interested</c:v>
                </c:pt>
              </c:strCache>
            </c:strRef>
          </c:cat>
          <c:val>
            <c:numRef>
              <c:f>Summary!$B$59:$B$62</c:f>
              <c:numCache>
                <c:formatCode>General</c:formatCode>
                <c:ptCount val="4"/>
                <c:pt idx="0">
                  <c:v>37.1</c:v>
                </c:pt>
                <c:pt idx="1">
                  <c:v>9.6999999999999993</c:v>
                </c:pt>
                <c:pt idx="2">
                  <c:v>29</c:v>
                </c:pt>
                <c:pt idx="3">
                  <c:v>24.2</c:v>
                </c:pt>
              </c:numCache>
            </c:numRef>
          </c:val>
        </c:ser>
        <c:dLbls>
          <c:showLegendKey val="0"/>
          <c:showVal val="0"/>
          <c:showCatName val="0"/>
          <c:showSerName val="0"/>
          <c:showPercent val="0"/>
          <c:showBubbleSize val="0"/>
        </c:dLbls>
        <c:gapWidth val="100"/>
        <c:shape val="box"/>
        <c:axId val="34292864"/>
        <c:axId val="34291072"/>
        <c:axId val="0"/>
      </c:bar3DChart>
      <c:valAx>
        <c:axId val="34291072"/>
        <c:scaling>
          <c:orientation val="minMax"/>
        </c:scaling>
        <c:delete val="1"/>
        <c:axPos val="b"/>
        <c:majorGridlines>
          <c:spPr>
            <a:ln>
              <a:noFill/>
            </a:ln>
          </c:spPr>
        </c:majorGridlines>
        <c:numFmt formatCode="General" sourceLinked="1"/>
        <c:majorTickMark val="out"/>
        <c:minorTickMark val="none"/>
        <c:tickLblPos val="nextTo"/>
        <c:crossAx val="34292864"/>
        <c:crosses val="autoZero"/>
        <c:crossBetween val="between"/>
      </c:valAx>
      <c:catAx>
        <c:axId val="34292864"/>
        <c:scaling>
          <c:orientation val="minMax"/>
        </c:scaling>
        <c:delete val="0"/>
        <c:axPos val="l"/>
        <c:majorTickMark val="out"/>
        <c:minorTickMark val="none"/>
        <c:tickLblPos val="nextTo"/>
        <c:crossAx val="3429107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2449857830271216"/>
                  <c:y val="-0.12155074365704287"/>
                </c:manualLayout>
              </c:layout>
              <c:showLegendKey val="0"/>
              <c:showVal val="0"/>
              <c:showCatName val="1"/>
              <c:showSerName val="0"/>
              <c:showPercent val="1"/>
              <c:showBubbleSize val="0"/>
            </c:dLbl>
            <c:dLbl>
              <c:idx val="1"/>
              <c:layout>
                <c:manualLayout>
                  <c:x val="0.13455872703412072"/>
                  <c:y val="3.737496354622339E-2"/>
                </c:manualLayout>
              </c:layout>
              <c:showLegendKey val="0"/>
              <c:showVal val="0"/>
              <c:showCatName val="1"/>
              <c:showSerName val="0"/>
              <c:showPercent val="1"/>
              <c:showBubbleSize val="0"/>
            </c:dLbl>
            <c:txPr>
              <a:bodyPr/>
              <a:lstStyle/>
              <a:p>
                <a:pPr>
                  <a:defRPr b="1">
                    <a:solidFill>
                      <a:schemeClr val="bg1"/>
                    </a:solidFill>
                  </a:defRPr>
                </a:pPr>
                <a:endParaRPr lang="en-US"/>
              </a:p>
            </c:txPr>
            <c:showLegendKey val="0"/>
            <c:showVal val="0"/>
            <c:showCatName val="1"/>
            <c:showSerName val="0"/>
            <c:showPercent val="1"/>
            <c:showBubbleSize val="0"/>
            <c:showLeaderLines val="1"/>
          </c:dLbls>
          <c:cat>
            <c:strRef>
              <c:f>Summary!$A$71:$A$72</c:f>
              <c:strCache>
                <c:ptCount val="2"/>
                <c:pt idx="0">
                  <c:v>Yes</c:v>
                </c:pt>
                <c:pt idx="1">
                  <c:v>No</c:v>
                </c:pt>
              </c:strCache>
            </c:strRef>
          </c:cat>
          <c:val>
            <c:numRef>
              <c:f>Summary!$B$71:$B$72</c:f>
              <c:numCache>
                <c:formatCode>General</c:formatCode>
                <c:ptCount val="2"/>
                <c:pt idx="0">
                  <c:v>63.1</c:v>
                </c:pt>
                <c:pt idx="1">
                  <c:v>36.9</c:v>
                </c:pt>
              </c:numCache>
            </c:numRef>
          </c:val>
        </c:ser>
        <c:dLbls>
          <c:showLegendKey val="0"/>
          <c:showVal val="0"/>
          <c:showCatName val="0"/>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8.2044181977252842E-2"/>
          <c:y val="5.0925925925925923E-2"/>
          <c:w val="0.86627537182852143"/>
          <c:h val="0.69495130896056645"/>
        </c:manualLayout>
      </c:layout>
      <c:bar3DChart>
        <c:barDir val="bar"/>
        <c:grouping val="clustered"/>
        <c:varyColors val="0"/>
        <c:ser>
          <c:idx val="0"/>
          <c:order val="0"/>
          <c:invertIfNegative val="0"/>
          <c:dLbls>
            <c:dLbl>
              <c:idx val="0"/>
              <c:layout>
                <c:manualLayout>
                  <c:x val="-6.3888888888888912E-2"/>
                  <c:y val="0"/>
                </c:manualLayout>
              </c:layout>
              <c:showLegendKey val="0"/>
              <c:showVal val="1"/>
              <c:showCatName val="0"/>
              <c:showSerName val="0"/>
              <c:showPercent val="0"/>
              <c:showBubbleSize val="0"/>
            </c:dLbl>
            <c:dLbl>
              <c:idx val="1"/>
              <c:layout>
                <c:manualLayout>
                  <c:x val="-9.4444444444444442E-2"/>
                  <c:y val="-4.6296296296296719E-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Summary!$A$4:$A$5</c:f>
              <c:strCache>
                <c:ptCount val="2"/>
                <c:pt idx="0">
                  <c:v>Yes</c:v>
                </c:pt>
                <c:pt idx="1">
                  <c:v>No</c:v>
                </c:pt>
              </c:strCache>
            </c:strRef>
          </c:cat>
          <c:val>
            <c:numRef>
              <c:f>Summary!$C$4:$C$5</c:f>
              <c:numCache>
                <c:formatCode>General</c:formatCode>
                <c:ptCount val="2"/>
                <c:pt idx="0">
                  <c:v>20</c:v>
                </c:pt>
                <c:pt idx="1">
                  <c:v>173</c:v>
                </c:pt>
              </c:numCache>
            </c:numRef>
          </c:val>
        </c:ser>
        <c:dLbls>
          <c:showLegendKey val="0"/>
          <c:showVal val="0"/>
          <c:showCatName val="0"/>
          <c:showSerName val="0"/>
          <c:showPercent val="0"/>
          <c:showBubbleSize val="0"/>
        </c:dLbls>
        <c:gapWidth val="100"/>
        <c:shape val="box"/>
        <c:axId val="38487552"/>
        <c:axId val="38486016"/>
        <c:axId val="0"/>
      </c:bar3DChart>
      <c:valAx>
        <c:axId val="38486016"/>
        <c:scaling>
          <c:orientation val="minMax"/>
        </c:scaling>
        <c:delete val="1"/>
        <c:axPos val="b"/>
        <c:majorGridlines>
          <c:spPr>
            <a:ln>
              <a:noFill/>
            </a:ln>
          </c:spPr>
        </c:majorGridlines>
        <c:numFmt formatCode="General" sourceLinked="1"/>
        <c:majorTickMark val="out"/>
        <c:minorTickMark val="none"/>
        <c:tickLblPos val="nextTo"/>
        <c:crossAx val="38487552"/>
        <c:crosses val="autoZero"/>
        <c:crossBetween val="between"/>
      </c:valAx>
      <c:catAx>
        <c:axId val="38487552"/>
        <c:scaling>
          <c:orientation val="minMax"/>
        </c:scaling>
        <c:delete val="0"/>
        <c:axPos val="l"/>
        <c:majorTickMark val="out"/>
        <c:minorTickMark val="none"/>
        <c:tickLblPos val="nextTo"/>
        <c:crossAx val="38486016"/>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7564784531789849"/>
          <c:y val="0.16609926449173679"/>
          <c:w val="0.55935956729350111"/>
          <c:h val="0.75131457701388527"/>
        </c:manualLayout>
      </c:layout>
      <c:pieChart>
        <c:varyColors val="1"/>
        <c:ser>
          <c:idx val="0"/>
          <c:order val="0"/>
          <c:explosion val="25"/>
          <c:dPt>
            <c:idx val="6"/>
            <c:bubble3D val="0"/>
            <c:explosion val="6"/>
          </c:dPt>
          <c:dLbls>
            <c:dLbl>
              <c:idx val="0"/>
              <c:layout>
                <c:manualLayout>
                  <c:x val="-0.27451709718865608"/>
                  <c:y val="-0.14131343057223897"/>
                </c:manualLayout>
              </c:layout>
              <c:spPr/>
              <c:txPr>
                <a:bodyPr/>
                <a:lstStyle/>
                <a:p>
                  <a:pPr>
                    <a:defRPr>
                      <a:solidFill>
                        <a:schemeClr val="bg1"/>
                      </a:solidFill>
                    </a:defRPr>
                  </a:pPr>
                  <a:endParaRPr lang="en-US"/>
                </a:p>
              </c:txPr>
              <c:showLegendKey val="0"/>
              <c:showVal val="1"/>
              <c:showCatName val="1"/>
              <c:showSerName val="0"/>
              <c:showPercent val="0"/>
              <c:showBubbleSize val="0"/>
            </c:dLbl>
            <c:dLbl>
              <c:idx val="1"/>
              <c:layout>
                <c:manualLayout>
                  <c:x val="-7.1973863029339141E-2"/>
                  <c:y val="2.1465441819772529E-2"/>
                </c:manualLayout>
              </c:layout>
              <c:tx>
                <c:rich>
                  <a:bodyPr/>
                  <a:lstStyle/>
                  <a:p>
                    <a:r>
                      <a:rPr lang="en-US"/>
                      <a:t>As an organization that may in the future adopt an applicant or employee  drug testing policy, 31</a:t>
                    </a:r>
                  </a:p>
                </c:rich>
              </c:tx>
              <c:showLegendKey val="0"/>
              <c:showVal val="1"/>
              <c:showCatName val="1"/>
              <c:showSerName val="0"/>
              <c:showPercent val="0"/>
              <c:showBubbleSize val="0"/>
            </c:dLbl>
            <c:dLbl>
              <c:idx val="2"/>
              <c:layout>
                <c:manualLayout>
                  <c:x val="-1.8512381136784131E-2"/>
                  <c:y val="6.7818215636431273E-3"/>
                </c:manualLayout>
              </c:layout>
              <c:showLegendKey val="0"/>
              <c:showVal val="1"/>
              <c:showCatName val="1"/>
              <c:showSerName val="0"/>
              <c:showPercent val="0"/>
              <c:showBubbleSize val="0"/>
            </c:dLbl>
            <c:dLbl>
              <c:idx val="3"/>
              <c:layout>
                <c:manualLayout>
                  <c:x val="-1.2233176283292457E-2"/>
                  <c:y val="8.487072974145948E-3"/>
                </c:manualLayout>
              </c:layout>
              <c:showLegendKey val="0"/>
              <c:showVal val="1"/>
              <c:showCatName val="1"/>
              <c:showSerName val="0"/>
              <c:showPercent val="0"/>
              <c:showBubbleSize val="0"/>
            </c:dLbl>
            <c:dLbl>
              <c:idx val="5"/>
              <c:layout>
                <c:manualLayout>
                  <c:x val="2.4256002323480057E-2"/>
                  <c:y val="-2.4399632972707679E-2"/>
                </c:manualLayout>
              </c:layout>
              <c:showLegendKey val="0"/>
              <c:showVal val="1"/>
              <c:showCatName val="1"/>
              <c:showSerName val="0"/>
              <c:showPercent val="0"/>
              <c:showBubbleSize val="0"/>
            </c:dLbl>
            <c:dLbl>
              <c:idx val="6"/>
              <c:layout>
                <c:manualLayout>
                  <c:x val="4.5984144399982788E-2"/>
                  <c:y val="-3.6307603281873234E-2"/>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Interests!$B$1:$B$6</c:f>
              <c:strCache>
                <c:ptCount val="6"/>
                <c:pt idx="0">
                  <c:v>As an organization with an active applicant or employee drug testing policy in Maine</c:v>
                </c:pt>
                <c:pt idx="1">
                  <c:v>As an organization that may in the future adopt an applicant or employee drug testing policy</c:v>
                </c:pt>
                <c:pt idx="2">
                  <c:v>As an affected interest group</c:v>
                </c:pt>
                <c:pt idx="3">
                  <c:v>As a health care provider or drug testing company</c:v>
                </c:pt>
                <c:pt idx="4">
                  <c:v>As a labor organization</c:v>
                </c:pt>
                <c:pt idx="5">
                  <c:v>As an individual</c:v>
                </c:pt>
              </c:strCache>
            </c:strRef>
          </c:cat>
          <c:val>
            <c:numRef>
              <c:f>Interests!$D$1:$D$6</c:f>
              <c:numCache>
                <c:formatCode>General</c:formatCode>
                <c:ptCount val="6"/>
                <c:pt idx="0">
                  <c:v>188</c:v>
                </c:pt>
                <c:pt idx="1">
                  <c:v>31</c:v>
                </c:pt>
                <c:pt idx="2">
                  <c:v>10</c:v>
                </c:pt>
                <c:pt idx="3">
                  <c:v>13</c:v>
                </c:pt>
                <c:pt idx="4">
                  <c:v>7</c:v>
                </c:pt>
                <c:pt idx="5">
                  <c:v>11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15"/>
      <c:rotY val="20"/>
      <c:depthPercent val="100"/>
      <c:rAngAx val="1"/>
    </c:view3D>
    <c:floor>
      <c:thickness val="0"/>
      <c:spPr>
        <a:solidFill>
          <a:schemeClr val="tx1"/>
        </a:solidFill>
      </c:spPr>
    </c:floor>
    <c:sideWall>
      <c:thickness val="0"/>
    </c:sideWall>
    <c:backWall>
      <c:thickness val="0"/>
    </c:backWall>
    <c:plotArea>
      <c:layout/>
      <c:bar3DChart>
        <c:barDir val="bar"/>
        <c:grouping val="clustered"/>
        <c:varyColors val="0"/>
        <c:ser>
          <c:idx val="0"/>
          <c:order val="0"/>
          <c:invertIfNegative val="0"/>
          <c:dLbls>
            <c:dLbl>
              <c:idx val="0"/>
              <c:layout>
                <c:manualLayout>
                  <c:x val="-9.166666666666666E-2"/>
                  <c:y val="4.6296296296296294E-3"/>
                </c:manualLayout>
              </c:layout>
              <c:showLegendKey val="0"/>
              <c:showVal val="1"/>
              <c:showCatName val="0"/>
              <c:showSerName val="0"/>
              <c:showPercent val="0"/>
              <c:showBubbleSize val="0"/>
            </c:dLbl>
            <c:dLbl>
              <c:idx val="1"/>
              <c:layout>
                <c:manualLayout>
                  <c:x val="-9.166666666666666E-2"/>
                  <c:y val="-9.2592592592592587E-3"/>
                </c:manualLayout>
              </c:layout>
              <c:showLegendKey val="0"/>
              <c:showVal val="1"/>
              <c:showCatName val="0"/>
              <c:showSerName val="0"/>
              <c:showPercent val="0"/>
              <c:showBubbleSize val="0"/>
            </c:dLbl>
            <c:dLbl>
              <c:idx val="2"/>
              <c:layout>
                <c:manualLayout>
                  <c:x val="-7.2222222222222174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Summary!$A$12:$A$14</c:f>
              <c:strCache>
                <c:ptCount val="3"/>
                <c:pt idx="0">
                  <c:v>One</c:v>
                </c:pt>
                <c:pt idx="1">
                  <c:v>Two to five</c:v>
                </c:pt>
                <c:pt idx="2">
                  <c:v>More than five</c:v>
                </c:pt>
              </c:strCache>
            </c:strRef>
          </c:cat>
          <c:val>
            <c:numRef>
              <c:f>Summary!$C$12:$C$14</c:f>
              <c:numCache>
                <c:formatCode>General</c:formatCode>
                <c:ptCount val="3"/>
                <c:pt idx="0">
                  <c:v>5</c:v>
                </c:pt>
                <c:pt idx="1">
                  <c:v>10</c:v>
                </c:pt>
                <c:pt idx="2">
                  <c:v>3</c:v>
                </c:pt>
              </c:numCache>
            </c:numRef>
          </c:val>
        </c:ser>
        <c:dLbls>
          <c:showLegendKey val="0"/>
          <c:showVal val="0"/>
          <c:showCatName val="0"/>
          <c:showSerName val="0"/>
          <c:showPercent val="0"/>
          <c:showBubbleSize val="0"/>
        </c:dLbls>
        <c:gapWidth val="100"/>
        <c:shape val="box"/>
        <c:axId val="38501376"/>
        <c:axId val="38499840"/>
        <c:axId val="0"/>
      </c:bar3DChart>
      <c:valAx>
        <c:axId val="38499840"/>
        <c:scaling>
          <c:orientation val="minMax"/>
        </c:scaling>
        <c:delete val="1"/>
        <c:axPos val="b"/>
        <c:majorGridlines>
          <c:spPr>
            <a:ln>
              <a:noFill/>
            </a:ln>
          </c:spPr>
        </c:majorGridlines>
        <c:numFmt formatCode="General" sourceLinked="1"/>
        <c:majorTickMark val="out"/>
        <c:minorTickMark val="none"/>
        <c:tickLblPos val="nextTo"/>
        <c:crossAx val="38501376"/>
        <c:crosses val="autoZero"/>
        <c:crossBetween val="between"/>
      </c:valAx>
      <c:catAx>
        <c:axId val="38501376"/>
        <c:scaling>
          <c:orientation val="minMax"/>
        </c:scaling>
        <c:delete val="0"/>
        <c:axPos val="l"/>
        <c:majorTickMark val="out"/>
        <c:minorTickMark val="none"/>
        <c:tickLblPos val="nextTo"/>
        <c:crossAx val="38499840"/>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1"/>
            <c:showSerName val="0"/>
            <c:showPercent val="1"/>
            <c:showBubbleSize val="0"/>
            <c:showLeaderLines val="1"/>
          </c:dLbls>
          <c:cat>
            <c:strRef>
              <c:f>Summary!$A$21:$A$24</c:f>
              <c:strCache>
                <c:ptCount val="4"/>
                <c:pt idx="0">
                  <c:v>Yes</c:v>
                </c:pt>
                <c:pt idx="1">
                  <c:v>No</c:v>
                </c:pt>
                <c:pt idx="2">
                  <c:v>Mixed Success</c:v>
                </c:pt>
                <c:pt idx="3">
                  <c:v>Not sure yet</c:v>
                </c:pt>
              </c:strCache>
            </c:strRef>
          </c:cat>
          <c:val>
            <c:numRef>
              <c:f>Summary!$C$21:$C$24</c:f>
              <c:numCache>
                <c:formatCode>General</c:formatCode>
                <c:ptCount val="4"/>
                <c:pt idx="0">
                  <c:v>7</c:v>
                </c:pt>
                <c:pt idx="1">
                  <c:v>3</c:v>
                </c:pt>
                <c:pt idx="2">
                  <c:v>7</c:v>
                </c:pt>
                <c:pt idx="3">
                  <c:v>1</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15"/>
      <c:rotY val="20"/>
      <c:depthPercent val="100"/>
      <c:rAngAx val="1"/>
    </c:view3D>
    <c:floor>
      <c:thickness val="0"/>
      <c:spPr>
        <a:solidFill>
          <a:schemeClr val="tx1"/>
        </a:solidFill>
      </c:spPr>
    </c:floor>
    <c:sideWall>
      <c:thickness val="0"/>
    </c:sideWall>
    <c:backWall>
      <c:thickness val="0"/>
    </c:backWall>
    <c:plotArea>
      <c:layout/>
      <c:bar3DChart>
        <c:barDir val="bar"/>
        <c:grouping val="clustered"/>
        <c:varyColors val="0"/>
        <c:ser>
          <c:idx val="0"/>
          <c:order val="0"/>
          <c:invertIfNegative val="0"/>
          <c:dLbls>
            <c:dLbl>
              <c:idx val="0"/>
              <c:layout>
                <c:manualLayout>
                  <c:x val="-5.2777777777777778E-2"/>
                  <c:y val="0"/>
                </c:manualLayout>
              </c:layout>
              <c:showLegendKey val="0"/>
              <c:showVal val="1"/>
              <c:showCatName val="0"/>
              <c:showSerName val="0"/>
              <c:showPercent val="0"/>
              <c:showBubbleSize val="0"/>
            </c:dLbl>
            <c:dLbl>
              <c:idx val="1"/>
              <c:layout>
                <c:manualLayout>
                  <c:x val="-6.6666666666666666E-2"/>
                  <c:y val="7.2631223152170032E-17"/>
                </c:manualLayout>
              </c:layout>
              <c:showLegendKey val="0"/>
              <c:showVal val="1"/>
              <c:showCatName val="0"/>
              <c:showSerName val="0"/>
              <c:showPercent val="0"/>
              <c:showBubbleSize val="0"/>
            </c:dLbl>
            <c:dLbl>
              <c:idx val="2"/>
              <c:layout>
                <c:manualLayout>
                  <c:x val="-6.5478783902012255E-2"/>
                  <c:y val="-2.9965794821963064E-3"/>
                </c:manualLayout>
              </c:layout>
              <c:showLegendKey val="0"/>
              <c:showVal val="1"/>
              <c:showCatName val="0"/>
              <c:showSerName val="0"/>
              <c:showPercent val="0"/>
              <c:showBubbleSize val="0"/>
            </c:dLbl>
            <c:dLbl>
              <c:idx val="3"/>
              <c:layout>
                <c:manualLayout>
                  <c:x val="-3.6398293963254592E-2"/>
                  <c:y val="-3.6744440683729221E-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Summary!$A$31:$A$34</c:f>
              <c:strCache>
                <c:ptCount val="4"/>
                <c:pt idx="0">
                  <c:v>Nothing</c:v>
                </c:pt>
                <c:pt idx="1">
                  <c:v>$1 to  $999</c:v>
                </c:pt>
                <c:pt idx="2">
                  <c:v>$1,000 to $5,000</c:v>
                </c:pt>
                <c:pt idx="3">
                  <c:v>More than $5,000</c:v>
                </c:pt>
              </c:strCache>
            </c:strRef>
          </c:cat>
          <c:val>
            <c:numRef>
              <c:f>Summary!$C$31:$C$34</c:f>
              <c:numCache>
                <c:formatCode>General</c:formatCode>
                <c:ptCount val="4"/>
                <c:pt idx="0">
                  <c:v>8</c:v>
                </c:pt>
                <c:pt idx="1">
                  <c:v>4</c:v>
                </c:pt>
                <c:pt idx="2">
                  <c:v>4</c:v>
                </c:pt>
                <c:pt idx="3">
                  <c:v>1</c:v>
                </c:pt>
              </c:numCache>
            </c:numRef>
          </c:val>
        </c:ser>
        <c:dLbls>
          <c:showLegendKey val="0"/>
          <c:showVal val="0"/>
          <c:showCatName val="0"/>
          <c:showSerName val="0"/>
          <c:showPercent val="0"/>
          <c:showBubbleSize val="0"/>
        </c:dLbls>
        <c:gapWidth val="100"/>
        <c:shape val="box"/>
        <c:axId val="38537856"/>
        <c:axId val="38536320"/>
        <c:axId val="0"/>
      </c:bar3DChart>
      <c:valAx>
        <c:axId val="38536320"/>
        <c:scaling>
          <c:orientation val="minMax"/>
        </c:scaling>
        <c:delete val="1"/>
        <c:axPos val="b"/>
        <c:majorGridlines>
          <c:spPr>
            <a:ln>
              <a:noFill/>
            </a:ln>
          </c:spPr>
        </c:majorGridlines>
        <c:numFmt formatCode="General" sourceLinked="1"/>
        <c:majorTickMark val="out"/>
        <c:minorTickMark val="none"/>
        <c:tickLblPos val="nextTo"/>
        <c:crossAx val="38537856"/>
        <c:crosses val="autoZero"/>
        <c:crossBetween val="between"/>
      </c:valAx>
      <c:catAx>
        <c:axId val="38537856"/>
        <c:scaling>
          <c:orientation val="minMax"/>
        </c:scaling>
        <c:delete val="0"/>
        <c:axPos val="l"/>
        <c:majorTickMark val="out"/>
        <c:minorTickMark val="none"/>
        <c:tickLblPos val="nextTo"/>
        <c:crossAx val="38536320"/>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4666178122385357"/>
          <c:y val="0.14688765518396774"/>
          <c:w val="0.71124113886692109"/>
          <c:h val="0.6843611533151166"/>
        </c:manualLayout>
      </c:layout>
      <c:pie3DChart>
        <c:varyColors val="1"/>
        <c:ser>
          <c:idx val="0"/>
          <c:order val="0"/>
          <c:explosion val="25"/>
          <c:dLbls>
            <c:dLbl>
              <c:idx val="0"/>
              <c:layout>
                <c:manualLayout>
                  <c:x val="0.12394500939838853"/>
                  <c:y val="2.2694401316032675E-3"/>
                </c:manualLayout>
              </c:layout>
              <c:showLegendKey val="0"/>
              <c:showVal val="0"/>
              <c:showCatName val="1"/>
              <c:showSerName val="0"/>
              <c:showPercent val="1"/>
              <c:showBubbleSize val="0"/>
            </c:dLbl>
            <c:dLbl>
              <c:idx val="1"/>
              <c:layout>
                <c:manualLayout>
                  <c:x val="-1.5204239446870452E-2"/>
                  <c:y val="0.23848500286495877"/>
                </c:manualLayout>
              </c:layout>
              <c:showLegendKey val="0"/>
              <c:showVal val="0"/>
              <c:showCatName val="1"/>
              <c:showSerName val="0"/>
              <c:showPercent val="1"/>
              <c:showBubbleSize val="0"/>
            </c:dLbl>
            <c:dLbl>
              <c:idx val="2"/>
              <c:layout>
                <c:manualLayout>
                  <c:x val="0.22568755468066493"/>
                  <c:y val="-9.7356007582385537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Summary!$M$4:$M$6</c:f>
              <c:strCache>
                <c:ptCount val="3"/>
                <c:pt idx="0">
                  <c:v>We conduct substance abuse testing on federally regulated employees but do not test other employees</c:v>
                </c:pt>
                <c:pt idx="1">
                  <c:v>We conduct substance abuse testing for  federally regulated and other employees as well</c:v>
                </c:pt>
                <c:pt idx="2">
                  <c:v>We do not conduct employee substance abuse testing under any federal requirement</c:v>
                </c:pt>
              </c:strCache>
            </c:strRef>
          </c:cat>
          <c:val>
            <c:numRef>
              <c:f>Summary!$N$4:$N$6</c:f>
              <c:numCache>
                <c:formatCode>General</c:formatCode>
                <c:ptCount val="3"/>
                <c:pt idx="0">
                  <c:v>38</c:v>
                </c:pt>
                <c:pt idx="1">
                  <c:v>50</c:v>
                </c:pt>
                <c:pt idx="2">
                  <c:v>117</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view3D>
      <c:rotX val="15"/>
      <c:rotY val="20"/>
      <c:rAngAx val="1"/>
    </c:view3D>
    <c:floor>
      <c:thickness val="0"/>
      <c:spPr>
        <a:solidFill>
          <a:schemeClr val="tx1"/>
        </a:solidFill>
      </c:spPr>
    </c:floor>
    <c:sideWall>
      <c:thickness val="0"/>
    </c:sideWall>
    <c:backWall>
      <c:thickness val="0"/>
    </c:backWall>
    <c:plotArea>
      <c:layout>
        <c:manualLayout>
          <c:layoutTarget val="inner"/>
          <c:xMode val="edge"/>
          <c:yMode val="edge"/>
          <c:x val="0.45180521383151245"/>
          <c:y val="4.384653023919742E-2"/>
          <c:w val="0.47176879728845661"/>
          <c:h val="0.7835396788012654"/>
        </c:manualLayout>
      </c:layout>
      <c:bar3DChart>
        <c:barDir val="bar"/>
        <c:grouping val="clustered"/>
        <c:varyColors val="0"/>
        <c:ser>
          <c:idx val="0"/>
          <c:order val="0"/>
          <c:invertIfNegative val="0"/>
          <c:dLbls>
            <c:dLbl>
              <c:idx val="0"/>
              <c:layout>
                <c:manualLayout>
                  <c:x val="-7.6991161172205586E-2"/>
                  <c:y val="0"/>
                </c:manualLayout>
              </c:layout>
              <c:showLegendKey val="0"/>
              <c:showVal val="1"/>
              <c:showCatName val="0"/>
              <c:showSerName val="0"/>
              <c:showPercent val="0"/>
              <c:showBubbleSize val="0"/>
            </c:dLbl>
            <c:dLbl>
              <c:idx val="1"/>
              <c:layout>
                <c:manualLayout>
                  <c:x val="-7.057523107452178E-2"/>
                  <c:y val="0"/>
                </c:manualLayout>
              </c:layout>
              <c:showLegendKey val="0"/>
              <c:showVal val="1"/>
              <c:showCatName val="0"/>
              <c:showSerName val="0"/>
              <c:showPercent val="0"/>
              <c:showBubbleSize val="0"/>
            </c:dLbl>
            <c:dLbl>
              <c:idx val="2"/>
              <c:layout>
                <c:manualLayout>
                  <c:x val="-4.9188797415575788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Summary!$A$24:$A$26</c:f>
              <c:strCache>
                <c:ptCount val="3"/>
                <c:pt idx="0">
                  <c:v>Our approach would be to continue to follow a Maine-approved policy for testing non-federally regulated employees</c:v>
                </c:pt>
                <c:pt idx="1">
                  <c:v>Our approach would be to follow the federal requirements for  non-federally regulated employees, while using separate forms and keeping separate records for the two groups</c:v>
                </c:pt>
                <c:pt idx="2">
                  <c:v>Our approach would be not to overlay all of the federal drug testing procedures upon our non-federally regulated employees and not to follow the procedures of the Maine drug-testing law</c:v>
                </c:pt>
              </c:strCache>
            </c:strRef>
          </c:cat>
          <c:val>
            <c:numRef>
              <c:f>Summary!$B$24:$B$26</c:f>
              <c:numCache>
                <c:formatCode>General</c:formatCode>
                <c:ptCount val="3"/>
                <c:pt idx="0">
                  <c:v>46.3</c:v>
                </c:pt>
                <c:pt idx="1">
                  <c:v>58.5</c:v>
                </c:pt>
                <c:pt idx="2">
                  <c:v>7.3</c:v>
                </c:pt>
              </c:numCache>
            </c:numRef>
          </c:val>
        </c:ser>
        <c:dLbls>
          <c:showLegendKey val="0"/>
          <c:showVal val="0"/>
          <c:showCatName val="0"/>
          <c:showSerName val="0"/>
          <c:showPercent val="0"/>
          <c:showBubbleSize val="0"/>
        </c:dLbls>
        <c:gapWidth val="150"/>
        <c:shape val="box"/>
        <c:axId val="38582912"/>
        <c:axId val="38584704"/>
        <c:axId val="0"/>
      </c:bar3DChart>
      <c:catAx>
        <c:axId val="38582912"/>
        <c:scaling>
          <c:orientation val="minMax"/>
        </c:scaling>
        <c:delete val="0"/>
        <c:axPos val="l"/>
        <c:majorTickMark val="out"/>
        <c:minorTickMark val="none"/>
        <c:tickLblPos val="nextTo"/>
        <c:crossAx val="38584704"/>
        <c:crosses val="autoZero"/>
        <c:auto val="1"/>
        <c:lblAlgn val="ctr"/>
        <c:lblOffset val="100"/>
        <c:noMultiLvlLbl val="0"/>
      </c:catAx>
      <c:valAx>
        <c:axId val="38584704"/>
        <c:scaling>
          <c:orientation val="minMax"/>
        </c:scaling>
        <c:delete val="1"/>
        <c:axPos val="b"/>
        <c:majorGridlines>
          <c:spPr>
            <a:ln>
              <a:noFill/>
            </a:ln>
          </c:spPr>
        </c:majorGridlines>
        <c:numFmt formatCode="General" sourceLinked="1"/>
        <c:majorTickMark val="out"/>
        <c:minorTickMark val="none"/>
        <c:tickLblPos val="nextTo"/>
        <c:crossAx val="38582912"/>
        <c:crosses val="autoZero"/>
        <c:crossBetween val="between"/>
      </c:valAx>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1"/>
            <c:showSerName val="0"/>
            <c:showPercent val="1"/>
            <c:showBubbleSize val="0"/>
            <c:showLeaderLines val="1"/>
          </c:dLbls>
          <c:cat>
            <c:strRef>
              <c:f>Summary!$A$36:$A$37</c:f>
              <c:strCache>
                <c:ptCount val="2"/>
                <c:pt idx="0">
                  <c:v>Yes</c:v>
                </c:pt>
                <c:pt idx="1">
                  <c:v>No</c:v>
                </c:pt>
              </c:strCache>
            </c:strRef>
          </c:cat>
          <c:val>
            <c:numRef>
              <c:f>Summary!$C$36:$C$37</c:f>
              <c:numCache>
                <c:formatCode>General</c:formatCode>
                <c:ptCount val="2"/>
                <c:pt idx="0">
                  <c:v>32</c:v>
                </c:pt>
                <c:pt idx="1">
                  <c:v>13</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txPr>
              <a:bodyPr/>
              <a:lstStyle/>
              <a:p>
                <a:pPr>
                  <a:defRPr b="1"/>
                </a:pPr>
                <a:endParaRPr lang="en-US"/>
              </a:p>
            </c:txPr>
            <c:showLegendKey val="0"/>
            <c:showVal val="0"/>
            <c:showCatName val="1"/>
            <c:showSerName val="0"/>
            <c:showPercent val="1"/>
            <c:showBubbleSize val="0"/>
            <c:showLeaderLines val="1"/>
          </c:dLbls>
          <c:cat>
            <c:strRef>
              <c:f>Summary!$A$4:$A$5</c:f>
              <c:strCache>
                <c:ptCount val="2"/>
                <c:pt idx="0">
                  <c:v>Yes</c:v>
                </c:pt>
                <c:pt idx="1">
                  <c:v>No</c:v>
                </c:pt>
              </c:strCache>
            </c:strRef>
          </c:cat>
          <c:val>
            <c:numRef>
              <c:f>Summary!$C$4:$C$5</c:f>
              <c:numCache>
                <c:formatCode>General</c:formatCode>
                <c:ptCount val="2"/>
                <c:pt idx="0">
                  <c:v>145</c:v>
                </c:pt>
                <c:pt idx="1">
                  <c:v>45</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sz="1000" b="0"/>
              <a:t>(By</a:t>
            </a:r>
            <a:r>
              <a:rPr lang="en-US" sz="1000" b="0" baseline="0"/>
              <a:t> percentage)</a:t>
            </a:r>
            <a:endParaRPr lang="en-US" sz="1000" b="0"/>
          </a:p>
        </c:rich>
      </c:tx>
      <c:layout>
        <c:manualLayout>
          <c:xMode val="edge"/>
          <c:yMode val="edge"/>
          <c:x val="0.39961111111111114"/>
          <c:y val="0.86342574365704294"/>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8.2044181977252842E-2"/>
          <c:y val="2.4097404491105263E-2"/>
          <c:w val="0.86627537182852143"/>
          <c:h val="0.67936734470691162"/>
        </c:manualLayout>
      </c:layout>
      <c:bar3DChart>
        <c:barDir val="bar"/>
        <c:grouping val="clustered"/>
        <c:varyColors val="0"/>
        <c:ser>
          <c:idx val="0"/>
          <c:order val="0"/>
          <c:invertIfNegative val="0"/>
          <c:dLbls>
            <c:dLbl>
              <c:idx val="0"/>
              <c:layout>
                <c:manualLayout>
                  <c:x val="-8.0555555555555561E-2"/>
                  <c:y val="0"/>
                </c:manualLayout>
              </c:layout>
              <c:showLegendKey val="0"/>
              <c:showVal val="1"/>
              <c:showCatName val="0"/>
              <c:showSerName val="0"/>
              <c:showPercent val="0"/>
              <c:showBubbleSize val="0"/>
            </c:dLbl>
            <c:dLbl>
              <c:idx val="1"/>
              <c:layout>
                <c:manualLayout>
                  <c:x val="-0.10277777777777777"/>
                  <c:y val="6.9444444444444441E-3"/>
                </c:manualLayout>
              </c:layout>
              <c:showLegendKey val="0"/>
              <c:showVal val="1"/>
              <c:showCatName val="0"/>
              <c:showSerName val="0"/>
              <c:showPercent val="0"/>
              <c:showBubbleSize val="0"/>
            </c:dLbl>
            <c:txPr>
              <a:bodyPr/>
              <a:lstStyle/>
              <a:p>
                <a:pPr>
                  <a:defRPr sz="1100" b="1">
                    <a:solidFill>
                      <a:schemeClr val="bg1"/>
                    </a:solidFill>
                  </a:defRPr>
                </a:pPr>
                <a:endParaRPr lang="en-US"/>
              </a:p>
            </c:txPr>
            <c:showLegendKey val="0"/>
            <c:showVal val="1"/>
            <c:showCatName val="0"/>
            <c:showSerName val="0"/>
            <c:showPercent val="0"/>
            <c:showBubbleSize val="0"/>
            <c:showLeaderLines val="0"/>
          </c:dLbls>
          <c:cat>
            <c:strRef>
              <c:f>Summary!$A$14:$A$15</c:f>
              <c:strCache>
                <c:ptCount val="2"/>
                <c:pt idx="0">
                  <c:v>Yes</c:v>
                </c:pt>
                <c:pt idx="1">
                  <c:v>No</c:v>
                </c:pt>
              </c:strCache>
            </c:strRef>
          </c:cat>
          <c:val>
            <c:numRef>
              <c:f>Summary!$B$14:$B$15</c:f>
              <c:numCache>
                <c:formatCode>General</c:formatCode>
                <c:ptCount val="2"/>
                <c:pt idx="0">
                  <c:v>12.6</c:v>
                </c:pt>
                <c:pt idx="1">
                  <c:v>87.4</c:v>
                </c:pt>
              </c:numCache>
            </c:numRef>
          </c:val>
        </c:ser>
        <c:dLbls>
          <c:showLegendKey val="0"/>
          <c:showVal val="0"/>
          <c:showCatName val="0"/>
          <c:showSerName val="0"/>
          <c:showPercent val="0"/>
          <c:showBubbleSize val="0"/>
        </c:dLbls>
        <c:gapWidth val="100"/>
        <c:shape val="box"/>
        <c:axId val="65759488"/>
        <c:axId val="65757952"/>
        <c:axId val="0"/>
      </c:bar3DChart>
      <c:valAx>
        <c:axId val="65757952"/>
        <c:scaling>
          <c:orientation val="minMax"/>
        </c:scaling>
        <c:delete val="1"/>
        <c:axPos val="b"/>
        <c:majorGridlines>
          <c:spPr>
            <a:ln>
              <a:noFill/>
            </a:ln>
          </c:spPr>
        </c:majorGridlines>
        <c:numFmt formatCode="General" sourceLinked="1"/>
        <c:majorTickMark val="out"/>
        <c:minorTickMark val="none"/>
        <c:tickLblPos val="nextTo"/>
        <c:crossAx val="65759488"/>
        <c:crosses val="autoZero"/>
        <c:crossBetween val="between"/>
      </c:valAx>
      <c:catAx>
        <c:axId val="65759488"/>
        <c:scaling>
          <c:orientation val="minMax"/>
        </c:scaling>
        <c:delete val="0"/>
        <c:axPos val="l"/>
        <c:majorTickMark val="out"/>
        <c:minorTickMark val="none"/>
        <c:tickLblPos val="nextTo"/>
        <c:crossAx val="6575795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50"/>
            </a:pPr>
            <a:r>
              <a:rPr lang="en-US" sz="1050" b="0"/>
              <a:t>(By Percentage)</a:t>
            </a:r>
          </a:p>
        </c:rich>
      </c:tx>
      <c:layout>
        <c:manualLayout>
          <c:xMode val="edge"/>
          <c:yMode val="edge"/>
          <c:x val="0.43643044619422572"/>
          <c:y val="0.86063241375403599"/>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26182239720034994"/>
          <c:y val="2.3414566959635633E-3"/>
          <c:w val="0.69353871391076116"/>
          <c:h val="0.69726210842349745"/>
        </c:manualLayout>
      </c:layout>
      <c:bar3DChart>
        <c:barDir val="bar"/>
        <c:grouping val="clustered"/>
        <c:varyColors val="0"/>
        <c:ser>
          <c:idx val="0"/>
          <c:order val="0"/>
          <c:invertIfNegative val="0"/>
          <c:dLbls>
            <c:dLbl>
              <c:idx val="0"/>
              <c:layout>
                <c:manualLayout>
                  <c:x val="-8.0555555555555561E-2"/>
                  <c:y val="-6.0795703618662036E-17"/>
                </c:manualLayout>
              </c:layout>
              <c:showLegendKey val="0"/>
              <c:showVal val="1"/>
              <c:showCatName val="0"/>
              <c:showSerName val="0"/>
              <c:showPercent val="0"/>
              <c:showBubbleSize val="0"/>
            </c:dLbl>
            <c:dLbl>
              <c:idx val="1"/>
              <c:layout>
                <c:manualLayout>
                  <c:x val="-7.2222222222222215E-2"/>
                  <c:y val="0"/>
                </c:manualLayout>
              </c:layout>
              <c:showLegendKey val="0"/>
              <c:showVal val="1"/>
              <c:showCatName val="0"/>
              <c:showSerName val="0"/>
              <c:showPercent val="0"/>
              <c:showBubbleSize val="0"/>
            </c:dLbl>
            <c:txPr>
              <a:bodyPr/>
              <a:lstStyle/>
              <a:p>
                <a:pPr>
                  <a:defRPr sz="1100" b="1">
                    <a:solidFill>
                      <a:schemeClr val="bg1"/>
                    </a:solidFill>
                  </a:defRPr>
                </a:pPr>
                <a:endParaRPr lang="en-US"/>
              </a:p>
            </c:txPr>
            <c:showLegendKey val="0"/>
            <c:showVal val="1"/>
            <c:showCatName val="0"/>
            <c:showSerName val="0"/>
            <c:showPercent val="0"/>
            <c:showBubbleSize val="0"/>
            <c:showLeaderLines val="0"/>
          </c:dLbls>
          <c:cat>
            <c:strRef>
              <c:f>Summary!$A$24:$A$25</c:f>
              <c:strCache>
                <c:ptCount val="2"/>
                <c:pt idx="0">
                  <c:v>Between 10 and 50</c:v>
                </c:pt>
                <c:pt idx="1">
                  <c:v>Fewer than 10</c:v>
                </c:pt>
              </c:strCache>
            </c:strRef>
          </c:cat>
          <c:val>
            <c:numRef>
              <c:f>Summary!$C$24:$C$25</c:f>
              <c:numCache>
                <c:formatCode>General</c:formatCode>
                <c:ptCount val="2"/>
                <c:pt idx="0">
                  <c:v>17</c:v>
                </c:pt>
                <c:pt idx="1">
                  <c:v>13</c:v>
                </c:pt>
              </c:numCache>
            </c:numRef>
          </c:val>
        </c:ser>
        <c:dLbls>
          <c:showLegendKey val="0"/>
          <c:showVal val="0"/>
          <c:showCatName val="0"/>
          <c:showSerName val="0"/>
          <c:showPercent val="0"/>
          <c:showBubbleSize val="0"/>
        </c:dLbls>
        <c:gapWidth val="100"/>
        <c:shape val="box"/>
        <c:axId val="71958912"/>
        <c:axId val="71330432"/>
        <c:axId val="0"/>
      </c:bar3DChart>
      <c:valAx>
        <c:axId val="71330432"/>
        <c:scaling>
          <c:orientation val="minMax"/>
        </c:scaling>
        <c:delete val="1"/>
        <c:axPos val="b"/>
        <c:majorGridlines>
          <c:spPr>
            <a:ln>
              <a:noFill/>
            </a:ln>
          </c:spPr>
        </c:majorGridlines>
        <c:numFmt formatCode="General" sourceLinked="1"/>
        <c:majorTickMark val="out"/>
        <c:minorTickMark val="none"/>
        <c:tickLblPos val="nextTo"/>
        <c:crossAx val="71958912"/>
        <c:crosses val="autoZero"/>
        <c:crossBetween val="between"/>
      </c:valAx>
      <c:catAx>
        <c:axId val="71958912"/>
        <c:scaling>
          <c:orientation val="minMax"/>
        </c:scaling>
        <c:delete val="0"/>
        <c:axPos val="l"/>
        <c:majorTickMark val="out"/>
        <c:minorTickMark val="none"/>
        <c:tickLblPos val="nextTo"/>
        <c:crossAx val="7133043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b="0"/>
            </a:pPr>
            <a:r>
              <a:rPr lang="en-US" sz="1000" b="0"/>
              <a:t>By Percentage</a:t>
            </a:r>
          </a:p>
        </c:rich>
      </c:tx>
      <c:layout>
        <c:manualLayout>
          <c:xMode val="edge"/>
          <c:yMode val="edge"/>
          <c:x val="0.5276298271213109"/>
          <c:y val="0.77760343732543635"/>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48914359926299961"/>
          <c:y val="2.247284745972411E-2"/>
          <c:w val="0.50938017411739567"/>
          <c:h val="0.79056833153029649"/>
        </c:manualLayout>
      </c:layout>
      <c:bar3DChart>
        <c:barDir val="bar"/>
        <c:grouping val="clustered"/>
        <c:varyColors val="0"/>
        <c:ser>
          <c:idx val="0"/>
          <c:order val="0"/>
          <c:invertIfNegative val="0"/>
          <c:dLbls>
            <c:dLbl>
              <c:idx val="0"/>
              <c:layout>
                <c:manualLayout>
                  <c:x val="-9.202318582734953E-2"/>
                  <c:y val="-6.3242663013415874E-3"/>
                </c:manualLayout>
              </c:layout>
              <c:showLegendKey val="0"/>
              <c:showVal val="1"/>
              <c:showCatName val="0"/>
              <c:showSerName val="0"/>
              <c:showPercent val="0"/>
              <c:showBubbleSize val="0"/>
            </c:dLbl>
            <c:dLbl>
              <c:idx val="1"/>
              <c:layout>
                <c:manualLayout>
                  <c:x val="-8.1123164159765906E-2"/>
                  <c:y val="0"/>
                </c:manualLayout>
              </c:layout>
              <c:showLegendKey val="0"/>
              <c:showVal val="1"/>
              <c:showCatName val="0"/>
              <c:showSerName val="0"/>
              <c:showPercent val="0"/>
              <c:showBubbleSize val="0"/>
            </c:dLbl>
            <c:dLbl>
              <c:idx val="2"/>
              <c:layout>
                <c:manualLayout>
                  <c:x val="-8.5084348087293635E-2"/>
                  <c:y val="-3.481474491042007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Summary!$A$4:$A$6</c:f>
              <c:strCache>
                <c:ptCount val="3"/>
                <c:pt idx="0">
                  <c:v>Our work is of a nature that all of our employees subject to drug testing work in safety-sensitive positions</c:v>
                </c:pt>
                <c:pt idx="1">
                  <c:v>Some of our employees who are subject to drug testing work in safety-sensitive positions while others do not</c:v>
                </c:pt>
                <c:pt idx="2">
                  <c:v>None of our employees work in safety-sensitive positions</c:v>
                </c:pt>
              </c:strCache>
            </c:strRef>
          </c:cat>
          <c:val>
            <c:numRef>
              <c:f>Summary!$B$4:$B$6</c:f>
              <c:numCache>
                <c:formatCode>General</c:formatCode>
                <c:ptCount val="3"/>
                <c:pt idx="0">
                  <c:v>48.9</c:v>
                </c:pt>
                <c:pt idx="1">
                  <c:v>39.200000000000003</c:v>
                </c:pt>
                <c:pt idx="2">
                  <c:v>11.9</c:v>
                </c:pt>
              </c:numCache>
            </c:numRef>
          </c:val>
        </c:ser>
        <c:dLbls>
          <c:showLegendKey val="0"/>
          <c:showVal val="0"/>
          <c:showCatName val="0"/>
          <c:showSerName val="0"/>
          <c:showPercent val="0"/>
          <c:showBubbleSize val="0"/>
        </c:dLbls>
        <c:gapWidth val="100"/>
        <c:shape val="box"/>
        <c:axId val="72080000"/>
        <c:axId val="72078464"/>
        <c:axId val="0"/>
      </c:bar3DChart>
      <c:valAx>
        <c:axId val="72078464"/>
        <c:scaling>
          <c:orientation val="minMax"/>
        </c:scaling>
        <c:delete val="0"/>
        <c:axPos val="b"/>
        <c:majorGridlines>
          <c:spPr>
            <a:ln>
              <a:noFill/>
            </a:ln>
          </c:spPr>
        </c:majorGridlines>
        <c:numFmt formatCode="General" sourceLinked="1"/>
        <c:majorTickMark val="out"/>
        <c:minorTickMark val="none"/>
        <c:tickLblPos val="none"/>
        <c:spPr>
          <a:ln>
            <a:noFill/>
          </a:ln>
        </c:spPr>
        <c:crossAx val="72080000"/>
        <c:crosses val="autoZero"/>
        <c:crossBetween val="between"/>
      </c:valAx>
      <c:catAx>
        <c:axId val="72080000"/>
        <c:scaling>
          <c:orientation val="minMax"/>
        </c:scaling>
        <c:delete val="0"/>
        <c:axPos val="l"/>
        <c:majorTickMark val="out"/>
        <c:minorTickMark val="none"/>
        <c:tickLblPos val="nextTo"/>
        <c:crossAx val="72078464"/>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pieChart>
        <c:varyColors val="1"/>
        <c:ser>
          <c:idx val="0"/>
          <c:order val="0"/>
          <c:explosion val="25"/>
          <c:dLbls>
            <c:dLbl>
              <c:idx val="0"/>
              <c:layout>
                <c:manualLayout>
                  <c:x val="-2.0674156990969351E-2"/>
                  <c:y val="1.5052243204768896E-2"/>
                </c:manualLayout>
              </c:layout>
              <c:tx>
                <c:rich>
                  <a:bodyPr/>
                  <a:lstStyle/>
                  <a:p>
                    <a:r>
                      <a:rPr lang="en-US"/>
                      <a:t>Less  than 10 employees</a:t>
                    </a:r>
                  </a:p>
                </c:rich>
              </c:tx>
              <c:showLegendKey val="0"/>
              <c:showVal val="0"/>
              <c:showCatName val="1"/>
              <c:showSerName val="0"/>
              <c:showPercent val="0"/>
              <c:showBubbleSize val="0"/>
            </c:dLbl>
            <c:dLbl>
              <c:idx val="1"/>
              <c:tx>
                <c:rich>
                  <a:bodyPr/>
                  <a:lstStyle/>
                  <a:p>
                    <a:r>
                      <a:rPr lang="en-US"/>
                      <a:t>10 to 19 employees</a:t>
                    </a:r>
                  </a:p>
                </c:rich>
              </c:tx>
              <c:showLegendKey val="0"/>
              <c:showVal val="0"/>
              <c:showCatName val="1"/>
              <c:showSerName val="0"/>
              <c:showPercent val="0"/>
              <c:showBubbleSize val="0"/>
            </c:dLbl>
            <c:dLbl>
              <c:idx val="2"/>
              <c:tx>
                <c:rich>
                  <a:bodyPr/>
                  <a:lstStyle/>
                  <a:p>
                    <a:r>
                      <a:rPr lang="en-US"/>
                      <a:t>20 to 50 employees</a:t>
                    </a:r>
                  </a:p>
                </c:rich>
              </c:tx>
              <c:showLegendKey val="0"/>
              <c:showVal val="0"/>
              <c:showCatName val="1"/>
              <c:showSerName val="0"/>
              <c:showPercent val="0"/>
              <c:showBubbleSize val="0"/>
            </c:dLbl>
            <c:dLbl>
              <c:idx val="3"/>
              <c:tx>
                <c:rich>
                  <a:bodyPr/>
                  <a:lstStyle/>
                  <a:p>
                    <a:r>
                      <a:rPr lang="en-US"/>
                      <a:t>More than 50 employees</a:t>
                    </a:r>
                  </a:p>
                </c:rich>
              </c:tx>
              <c:showLegendKey val="0"/>
              <c:showVal val="0"/>
              <c:showCatName val="1"/>
              <c:showSerName val="0"/>
              <c:showPercent val="0"/>
              <c:showBubbleSize val="0"/>
            </c:dLbl>
            <c:showLegendKey val="0"/>
            <c:showVal val="0"/>
            <c:showCatName val="1"/>
            <c:showSerName val="0"/>
            <c:showPercent val="0"/>
            <c:showBubbleSize val="0"/>
            <c:showLeaderLines val="1"/>
          </c:dLbls>
          <c:cat>
            <c:strRef>
              <c:f>Employment!$B$2:$B$5</c:f>
              <c:strCache>
                <c:ptCount val="4"/>
                <c:pt idx="0">
                  <c:v>Less than 10 Employees</c:v>
                </c:pt>
                <c:pt idx="1">
                  <c:v>10 to 19 Employees</c:v>
                </c:pt>
                <c:pt idx="2">
                  <c:v>20 to 50 Employees</c:v>
                </c:pt>
                <c:pt idx="3">
                  <c:v>More than 50 Employees</c:v>
                </c:pt>
              </c:strCache>
            </c:strRef>
          </c:cat>
          <c:val>
            <c:numRef>
              <c:f>Employment!$D$2:$D$5</c:f>
              <c:numCache>
                <c:formatCode>General</c:formatCode>
                <c:ptCount val="4"/>
                <c:pt idx="0">
                  <c:v>30</c:v>
                </c:pt>
                <c:pt idx="1">
                  <c:v>34</c:v>
                </c:pt>
                <c:pt idx="2">
                  <c:v>32</c:v>
                </c:pt>
                <c:pt idx="3">
                  <c:v>132</c:v>
                </c:pt>
              </c:numCache>
            </c:numRef>
          </c:val>
        </c:ser>
        <c:dLbls>
          <c:showLegendKey val="0"/>
          <c:showVal val="0"/>
          <c:showCatName val="1"/>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50" b="0"/>
            </a:pPr>
            <a:r>
              <a:rPr lang="en-US" sz="1050" b="0"/>
              <a:t>(By Percentage)</a:t>
            </a:r>
          </a:p>
        </c:rich>
      </c:tx>
      <c:layout>
        <c:manualLayout>
          <c:xMode val="edge"/>
          <c:yMode val="edge"/>
          <c:x val="0.43619456221818426"/>
          <c:y val="0.81531291407957263"/>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50316001986936987"/>
          <c:y val="2.3698814899322417E-2"/>
          <c:w val="0.47178331999704137"/>
          <c:h val="0.74297194827244761"/>
        </c:manualLayout>
      </c:layout>
      <c:bar3DChart>
        <c:barDir val="bar"/>
        <c:grouping val="clustered"/>
        <c:varyColors val="0"/>
        <c:ser>
          <c:idx val="0"/>
          <c:order val="0"/>
          <c:invertIfNegative val="0"/>
          <c:dLbls>
            <c:dLbl>
              <c:idx val="0"/>
              <c:layout>
                <c:manualLayout>
                  <c:x val="-9.3962787796979419E-2"/>
                  <c:y val="1.4770029153617632E-3"/>
                </c:manualLayout>
              </c:layout>
              <c:showLegendKey val="0"/>
              <c:showVal val="1"/>
              <c:showCatName val="0"/>
              <c:showSerName val="0"/>
              <c:showPercent val="0"/>
              <c:showBubbleSize val="0"/>
            </c:dLbl>
            <c:dLbl>
              <c:idx val="1"/>
              <c:layout>
                <c:manualLayout>
                  <c:x val="-5.9875555884283616E-2"/>
                  <c:y val="1.5729468073737145E-3"/>
                </c:manualLayout>
              </c:layout>
              <c:showLegendKey val="0"/>
              <c:showVal val="1"/>
              <c:showCatName val="0"/>
              <c:showSerName val="0"/>
              <c:showPercent val="0"/>
              <c:showBubbleSize val="0"/>
            </c:dLbl>
            <c:dLbl>
              <c:idx val="2"/>
              <c:layout>
                <c:manualLayout>
                  <c:x val="-6.2255341574134933E-2"/>
                  <c:y val="-2.4569631679393889E-3"/>
                </c:manualLayout>
              </c:layout>
              <c:showLegendKey val="0"/>
              <c:showVal val="1"/>
              <c:showCatName val="0"/>
              <c:showSerName val="0"/>
              <c:showPercent val="0"/>
              <c:showBubbleSize val="0"/>
            </c:dLbl>
            <c:dLbl>
              <c:idx val="3"/>
              <c:layout>
                <c:manualLayout>
                  <c:x val="-2.2199820370612206E-2"/>
                  <c:y val="-9.2854467035370231E-2"/>
                </c:manualLayout>
              </c:layout>
              <c:showLegendKey val="0"/>
              <c:showVal val="1"/>
              <c:showCatName val="0"/>
              <c:showSerName val="0"/>
              <c:showPercent val="0"/>
              <c:showBubbleSize val="0"/>
            </c:dLbl>
            <c:txPr>
              <a:bodyPr/>
              <a:lstStyle/>
              <a:p>
                <a:pPr>
                  <a:defRPr sz="1050" b="1">
                    <a:solidFill>
                      <a:schemeClr val="bg1"/>
                    </a:solidFill>
                  </a:defRPr>
                </a:pPr>
                <a:endParaRPr lang="en-US"/>
              </a:p>
            </c:txPr>
            <c:showLegendKey val="0"/>
            <c:showVal val="1"/>
            <c:showCatName val="0"/>
            <c:showSerName val="0"/>
            <c:showPercent val="0"/>
            <c:showBubbleSize val="0"/>
            <c:showLeaderLines val="0"/>
          </c:dLbls>
          <c:cat>
            <c:strRef>
              <c:f>Summary!$A$16:$A$18</c:f>
              <c:strCache>
                <c:ptCount val="3"/>
                <c:pt idx="0">
                  <c:v>We have never had to forego probable cause testing for an incident, because it was the employee's first accident</c:v>
                </c:pt>
                <c:pt idx="1">
                  <c:v>On at least one occasion, we had to forego probable cause testing, because it was the employee's first accident, and there were no other factors with which to determine probable cause</c:v>
                </c:pt>
                <c:pt idx="2">
                  <c:v>On more than one occasion, we have had to forego probable cause testing because each incident was the employee's first accident, and there were no other factors with which to determine probable cause</c:v>
                </c:pt>
              </c:strCache>
            </c:strRef>
          </c:cat>
          <c:val>
            <c:numRef>
              <c:f>Summary!$B$16:$B$18</c:f>
              <c:numCache>
                <c:formatCode>General</c:formatCode>
                <c:ptCount val="3"/>
                <c:pt idx="0">
                  <c:v>32.700000000000003</c:v>
                </c:pt>
                <c:pt idx="1">
                  <c:v>9.9</c:v>
                </c:pt>
                <c:pt idx="2">
                  <c:v>8</c:v>
                </c:pt>
              </c:numCache>
            </c:numRef>
          </c:val>
        </c:ser>
        <c:dLbls>
          <c:showLegendKey val="0"/>
          <c:showVal val="0"/>
          <c:showCatName val="0"/>
          <c:showSerName val="0"/>
          <c:showPercent val="0"/>
          <c:showBubbleSize val="0"/>
        </c:dLbls>
        <c:gapWidth val="100"/>
        <c:shape val="box"/>
        <c:axId val="87622784"/>
        <c:axId val="73710976"/>
        <c:axId val="0"/>
      </c:bar3DChart>
      <c:valAx>
        <c:axId val="73710976"/>
        <c:scaling>
          <c:orientation val="minMax"/>
        </c:scaling>
        <c:delete val="1"/>
        <c:axPos val="b"/>
        <c:majorGridlines>
          <c:spPr>
            <a:ln>
              <a:noFill/>
            </a:ln>
          </c:spPr>
        </c:majorGridlines>
        <c:numFmt formatCode="General" sourceLinked="1"/>
        <c:majorTickMark val="out"/>
        <c:minorTickMark val="none"/>
        <c:tickLblPos val="nextTo"/>
        <c:crossAx val="87622784"/>
        <c:crosses val="autoZero"/>
        <c:crossBetween val="between"/>
      </c:valAx>
      <c:catAx>
        <c:axId val="87622784"/>
        <c:scaling>
          <c:orientation val="minMax"/>
        </c:scaling>
        <c:delete val="0"/>
        <c:axPos val="l"/>
        <c:majorTickMark val="out"/>
        <c:minorTickMark val="none"/>
        <c:tickLblPos val="nextTo"/>
        <c:crossAx val="73710976"/>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000" b="0"/>
              <a:t>(By Percentage)</a:t>
            </a:r>
          </a:p>
        </c:rich>
      </c:tx>
      <c:layout>
        <c:manualLayout>
          <c:xMode val="edge"/>
          <c:yMode val="edge"/>
          <c:x val="0.49513733597738491"/>
          <c:y val="0.84816955874246125"/>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51431758800824268"/>
          <c:y val="2.2316712485628129E-3"/>
          <c:w val="0.44041309391717454"/>
          <c:h val="0.83609320323592373"/>
        </c:manualLayout>
      </c:layout>
      <c:bar3DChart>
        <c:barDir val="bar"/>
        <c:grouping val="clustered"/>
        <c:varyColors val="0"/>
        <c:ser>
          <c:idx val="0"/>
          <c:order val="0"/>
          <c:invertIfNegative val="0"/>
          <c:dLbls>
            <c:dLbl>
              <c:idx val="0"/>
              <c:layout>
                <c:manualLayout>
                  <c:x val="-3.2624425494650701E-2"/>
                  <c:y val="-4.7423520282103047E-4"/>
                </c:manualLayout>
              </c:layout>
              <c:showLegendKey val="0"/>
              <c:showVal val="1"/>
              <c:showCatName val="0"/>
              <c:showSerName val="0"/>
              <c:showPercent val="0"/>
              <c:showBubbleSize val="0"/>
            </c:dLbl>
            <c:dLbl>
              <c:idx val="1"/>
              <c:layout>
                <c:manualLayout>
                  <c:x val="-7.9749991104003617E-2"/>
                  <c:y val="-6.2934034230168676E-3"/>
                </c:manualLayout>
              </c:layout>
              <c:showLegendKey val="0"/>
              <c:showVal val="1"/>
              <c:showCatName val="0"/>
              <c:showSerName val="0"/>
              <c:showPercent val="0"/>
              <c:showBubbleSize val="0"/>
            </c:dLbl>
            <c:dLbl>
              <c:idx val="2"/>
              <c:layout>
                <c:manualLayout>
                  <c:x val="-6.6909817541689467E-2"/>
                  <c:y val="-1.9985503385640917E-3"/>
                </c:manualLayout>
              </c:layout>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Summary!$A$29:$A$31</c:f>
              <c:strCache>
                <c:ptCount val="3"/>
                <c:pt idx="0">
                  <c:v>The definition of probable cause for purposes of drug testing should continue to exempt a single work-related accident</c:v>
                </c:pt>
                <c:pt idx="1">
                  <c:v>The definition of probable cause for purposes of drug testing should not exempt a single or first work-related accident</c:v>
                </c:pt>
                <c:pt idx="2">
                  <c:v>The definition of probable cause for purposes of drug testing should only exempt a single  or first work-related accident if there is no significant injury to any employee and no significant property damage</c:v>
                </c:pt>
              </c:strCache>
            </c:strRef>
          </c:cat>
          <c:val>
            <c:numRef>
              <c:f>Summary!$B$29:$B$31</c:f>
              <c:numCache>
                <c:formatCode>General</c:formatCode>
                <c:ptCount val="3"/>
                <c:pt idx="0">
                  <c:v>7.9</c:v>
                </c:pt>
                <c:pt idx="1">
                  <c:v>75.3</c:v>
                </c:pt>
                <c:pt idx="2">
                  <c:v>16.899999999999999</c:v>
                </c:pt>
              </c:numCache>
            </c:numRef>
          </c:val>
        </c:ser>
        <c:dLbls>
          <c:showLegendKey val="0"/>
          <c:showVal val="0"/>
          <c:showCatName val="0"/>
          <c:showSerName val="0"/>
          <c:showPercent val="0"/>
          <c:showBubbleSize val="0"/>
        </c:dLbls>
        <c:gapWidth val="100"/>
        <c:shape val="box"/>
        <c:axId val="87636992"/>
        <c:axId val="87635456"/>
        <c:axId val="0"/>
      </c:bar3DChart>
      <c:valAx>
        <c:axId val="87635456"/>
        <c:scaling>
          <c:orientation val="minMax"/>
        </c:scaling>
        <c:delete val="1"/>
        <c:axPos val="b"/>
        <c:majorGridlines>
          <c:spPr>
            <a:ln>
              <a:noFill/>
            </a:ln>
          </c:spPr>
        </c:majorGridlines>
        <c:numFmt formatCode="General" sourceLinked="1"/>
        <c:majorTickMark val="out"/>
        <c:minorTickMark val="none"/>
        <c:tickLblPos val="nextTo"/>
        <c:crossAx val="87636992"/>
        <c:crosses val="autoZero"/>
        <c:crossBetween val="between"/>
      </c:valAx>
      <c:catAx>
        <c:axId val="87636992"/>
        <c:scaling>
          <c:orientation val="minMax"/>
        </c:scaling>
        <c:delete val="0"/>
        <c:axPos val="l"/>
        <c:majorTickMark val="out"/>
        <c:minorTickMark val="none"/>
        <c:tickLblPos val="nextTo"/>
        <c:crossAx val="87635456"/>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000" b="0"/>
            </a:pPr>
            <a:r>
              <a:rPr lang="en-US" sz="1000" b="0"/>
              <a:t>(By Percentage)</a:t>
            </a:r>
          </a:p>
        </c:rich>
      </c:tx>
      <c:layout>
        <c:manualLayout>
          <c:xMode val="edge"/>
          <c:yMode val="edge"/>
          <c:x val="0.42195822397200344"/>
          <c:y val="0.87959410427425067"/>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7.0933070866141729E-2"/>
          <c:y val="9.4925634295711441E-4"/>
          <c:w val="0.92906692913385824"/>
          <c:h val="0.82608449543969353"/>
        </c:manualLayout>
      </c:layout>
      <c:bar3DChart>
        <c:barDir val="bar"/>
        <c:grouping val="clustered"/>
        <c:varyColors val="0"/>
        <c:ser>
          <c:idx val="0"/>
          <c:order val="0"/>
          <c:invertIfNegative val="0"/>
          <c:dLbls>
            <c:dLbl>
              <c:idx val="0"/>
              <c:layout>
                <c:manualLayout>
                  <c:x val="-0.11666666666666661"/>
                  <c:y val="0"/>
                </c:manualLayout>
              </c:layout>
              <c:spPr/>
              <c:txPr>
                <a:bodyPr/>
                <a:lstStyle/>
                <a:p>
                  <a:pPr>
                    <a:defRPr b="1">
                      <a:solidFill>
                        <a:schemeClr val="bg1"/>
                      </a:solidFill>
                    </a:defRPr>
                  </a:pPr>
                  <a:endParaRPr lang="en-US"/>
                </a:p>
              </c:txPr>
              <c:showLegendKey val="0"/>
              <c:showVal val="1"/>
              <c:showCatName val="0"/>
              <c:showSerName val="0"/>
              <c:showPercent val="0"/>
              <c:showBubbleSize val="0"/>
            </c:dLbl>
            <c:dLbl>
              <c:idx val="1"/>
              <c:layout>
                <c:manualLayout>
                  <c:x val="-0.14166666666666666"/>
                  <c:y val="-4.2437781360066642E-17"/>
                </c:manualLayout>
              </c:layout>
              <c:spPr/>
              <c:txPr>
                <a:bodyPr/>
                <a:lstStyle/>
                <a:p>
                  <a:pPr>
                    <a:defRPr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Summary!$A$4:$A$5</c:f>
              <c:strCache>
                <c:ptCount val="2"/>
                <c:pt idx="0">
                  <c:v>Yes</c:v>
                </c:pt>
                <c:pt idx="1">
                  <c:v>No</c:v>
                </c:pt>
              </c:strCache>
            </c:strRef>
          </c:cat>
          <c:val>
            <c:numRef>
              <c:f>Summary!$B$4:$B$5</c:f>
              <c:numCache>
                <c:formatCode>General</c:formatCode>
                <c:ptCount val="2"/>
                <c:pt idx="0">
                  <c:v>30.7</c:v>
                </c:pt>
                <c:pt idx="1">
                  <c:v>69.3</c:v>
                </c:pt>
              </c:numCache>
            </c:numRef>
          </c:val>
        </c:ser>
        <c:dLbls>
          <c:showLegendKey val="0"/>
          <c:showVal val="1"/>
          <c:showCatName val="0"/>
          <c:showSerName val="0"/>
          <c:showPercent val="0"/>
          <c:showBubbleSize val="0"/>
        </c:dLbls>
        <c:gapWidth val="150"/>
        <c:shape val="box"/>
        <c:axId val="87654784"/>
        <c:axId val="87656320"/>
        <c:axId val="0"/>
      </c:bar3DChart>
      <c:catAx>
        <c:axId val="87654784"/>
        <c:scaling>
          <c:orientation val="minMax"/>
        </c:scaling>
        <c:delete val="0"/>
        <c:axPos val="l"/>
        <c:majorTickMark val="none"/>
        <c:minorTickMark val="none"/>
        <c:tickLblPos val="nextTo"/>
        <c:crossAx val="87656320"/>
        <c:crosses val="autoZero"/>
        <c:auto val="1"/>
        <c:lblAlgn val="ctr"/>
        <c:lblOffset val="100"/>
        <c:noMultiLvlLbl val="0"/>
      </c:catAx>
      <c:valAx>
        <c:axId val="87656320"/>
        <c:scaling>
          <c:orientation val="minMax"/>
        </c:scaling>
        <c:delete val="1"/>
        <c:axPos val="b"/>
        <c:numFmt formatCode="General" sourceLinked="1"/>
        <c:majorTickMark val="none"/>
        <c:minorTickMark val="none"/>
        <c:tickLblPos val="nextTo"/>
        <c:crossAx val="87654784"/>
        <c:crosses val="autoZero"/>
        <c:crossBetween val="between"/>
      </c:valAx>
    </c:plotArea>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000" b="0"/>
            </a:pPr>
            <a:r>
              <a:rPr lang="en-US" sz="1000" b="0"/>
              <a:t> (By Percentage)</a:t>
            </a:r>
          </a:p>
        </c:rich>
      </c:tx>
      <c:layout>
        <c:manualLayout>
          <c:xMode val="edge"/>
          <c:yMode val="edge"/>
          <c:x val="0.51756035664014188"/>
          <c:y val="0.92646245910941816"/>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49215523948834461"/>
          <c:y val="2.4646922369274935E-2"/>
          <c:w val="0.47171731991709104"/>
          <c:h val="0.88820965823209563"/>
        </c:manualLayout>
      </c:layout>
      <c:bar3DChart>
        <c:barDir val="bar"/>
        <c:grouping val="clustered"/>
        <c:varyColors val="0"/>
        <c:ser>
          <c:idx val="0"/>
          <c:order val="0"/>
          <c:invertIfNegative val="0"/>
          <c:dLbls>
            <c:dLbl>
              <c:idx val="0"/>
              <c:layout>
                <c:manualLayout>
                  <c:x val="-9.7222222222222224E-2"/>
                  <c:y val="0"/>
                </c:manualLayout>
              </c:layout>
              <c:spPr/>
              <c:txPr>
                <a:bodyPr/>
                <a:lstStyle/>
                <a:p>
                  <a:pPr>
                    <a:defRPr b="1">
                      <a:solidFill>
                        <a:schemeClr val="bg1"/>
                      </a:solidFill>
                    </a:defRPr>
                  </a:pPr>
                  <a:endParaRPr lang="en-US"/>
                </a:p>
              </c:txPr>
              <c:showLegendKey val="0"/>
              <c:showVal val="1"/>
              <c:showCatName val="0"/>
              <c:showSerName val="0"/>
              <c:showPercent val="0"/>
              <c:showBubbleSize val="0"/>
            </c:dLbl>
            <c:dLbl>
              <c:idx val="1"/>
              <c:layout>
                <c:manualLayout>
                  <c:x val="-0.10277777777777777"/>
                  <c:y val="0"/>
                </c:manualLayout>
              </c:layout>
              <c:spPr/>
              <c:txPr>
                <a:bodyPr/>
                <a:lstStyle/>
                <a:p>
                  <a:pPr>
                    <a:defRPr b="1">
                      <a:solidFill>
                        <a:schemeClr val="bg1"/>
                      </a:solidFill>
                    </a:defRPr>
                  </a:pPr>
                  <a:endParaRPr lang="en-US"/>
                </a:p>
              </c:txPr>
              <c:showLegendKey val="0"/>
              <c:showVal val="1"/>
              <c:showCatName val="0"/>
              <c:showSerName val="0"/>
              <c:showPercent val="0"/>
              <c:showBubbleSize val="0"/>
            </c:dLbl>
            <c:dLbl>
              <c:idx val="2"/>
              <c:layout>
                <c:manualLayout>
                  <c:x val="-9.7222222222222224E-2"/>
                  <c:y val="2.5889962359664171E-3"/>
                </c:manualLayout>
              </c:layout>
              <c:spPr/>
              <c:txPr>
                <a:bodyPr/>
                <a:lstStyle/>
                <a:p>
                  <a:pPr>
                    <a:defRPr b="1">
                      <a:solidFill>
                        <a:schemeClr val="bg1"/>
                      </a:solidFill>
                    </a:defRPr>
                  </a:pPr>
                  <a:endParaRPr lang="en-US"/>
                </a:p>
              </c:txPr>
              <c:showLegendKey val="0"/>
              <c:showVal val="1"/>
              <c:showCatName val="0"/>
              <c:showSerName val="0"/>
              <c:showPercent val="0"/>
              <c:showBubbleSize val="0"/>
            </c:dLbl>
            <c:dLbl>
              <c:idx val="3"/>
              <c:layout>
                <c:manualLayout>
                  <c:x val="-0.1"/>
                  <c:y val="0"/>
                </c:manualLayout>
              </c:layout>
              <c:spPr/>
              <c:txPr>
                <a:bodyPr/>
                <a:lstStyle/>
                <a:p>
                  <a:pPr>
                    <a:defRPr b="1">
                      <a:solidFill>
                        <a:schemeClr val="bg1"/>
                      </a:solidFill>
                    </a:defRPr>
                  </a:pPr>
                  <a:endParaRPr lang="en-US"/>
                </a:p>
              </c:txPr>
              <c:showLegendKey val="0"/>
              <c:showVal val="1"/>
              <c:showCatName val="0"/>
              <c:showSerName val="0"/>
              <c:showPercent val="0"/>
              <c:showBubbleSize val="0"/>
            </c:dLbl>
            <c:dLbl>
              <c:idx val="4"/>
              <c:layout>
                <c:manualLayout>
                  <c:x val="-9.166666666666666E-2"/>
                  <c:y val="0"/>
                </c:manualLayout>
              </c:layout>
              <c:spPr/>
              <c:txPr>
                <a:bodyPr/>
                <a:lstStyle/>
                <a:p>
                  <a:pPr>
                    <a:defRPr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Summary!$A$14:$A$18</c:f>
              <c:strCache>
                <c:ptCount val="5"/>
                <c:pt idx="0">
                  <c:v>Upon at least one occasion, we lost or failed to bid on or offer a contract because drug testing requirements could not be met</c:v>
                </c:pt>
                <c:pt idx="1">
                  <c:v>Upon at least one occasion we have had to waive a company's drug testing requirements in order to execute a contract</c:v>
                </c:pt>
                <c:pt idx="2">
                  <c:v>We have never lost or failed to offer a contract because drug testing requirements were not met; however, given our circumstances, that could happen in the future</c:v>
                </c:pt>
                <c:pt idx="3">
                  <c:v>Drug testing for short-term jobs is not a problem because we have an approved employee drug testing policy</c:v>
                </c:pt>
                <c:pt idx="4">
                  <c:v>Drug testing for short-term jobs has not been a problem, because we have been able to plan ahead sufficiently to assure that drug-testing requirements were met</c:v>
                </c:pt>
              </c:strCache>
            </c:strRef>
          </c:cat>
          <c:val>
            <c:numRef>
              <c:f>Summary!$B$14:$B$18</c:f>
              <c:numCache>
                <c:formatCode>General</c:formatCode>
                <c:ptCount val="5"/>
                <c:pt idx="0">
                  <c:v>11.8</c:v>
                </c:pt>
                <c:pt idx="1">
                  <c:v>11.8</c:v>
                </c:pt>
                <c:pt idx="2">
                  <c:v>17.600000000000001</c:v>
                </c:pt>
                <c:pt idx="3">
                  <c:v>43.1</c:v>
                </c:pt>
                <c:pt idx="4">
                  <c:v>15.7</c:v>
                </c:pt>
              </c:numCache>
            </c:numRef>
          </c:val>
        </c:ser>
        <c:dLbls>
          <c:showLegendKey val="0"/>
          <c:showVal val="1"/>
          <c:showCatName val="0"/>
          <c:showSerName val="0"/>
          <c:showPercent val="0"/>
          <c:showBubbleSize val="0"/>
        </c:dLbls>
        <c:gapWidth val="150"/>
        <c:shape val="box"/>
        <c:axId val="87683840"/>
        <c:axId val="87685376"/>
        <c:axId val="0"/>
      </c:bar3DChart>
      <c:catAx>
        <c:axId val="87683840"/>
        <c:scaling>
          <c:orientation val="minMax"/>
        </c:scaling>
        <c:delete val="0"/>
        <c:axPos val="l"/>
        <c:majorTickMark val="none"/>
        <c:minorTickMark val="none"/>
        <c:tickLblPos val="nextTo"/>
        <c:crossAx val="87685376"/>
        <c:crosses val="autoZero"/>
        <c:auto val="1"/>
        <c:lblAlgn val="ctr"/>
        <c:lblOffset val="100"/>
        <c:noMultiLvlLbl val="0"/>
      </c:catAx>
      <c:valAx>
        <c:axId val="87685376"/>
        <c:scaling>
          <c:orientation val="minMax"/>
        </c:scaling>
        <c:delete val="1"/>
        <c:axPos val="b"/>
        <c:numFmt formatCode="General" sourceLinked="1"/>
        <c:majorTickMark val="none"/>
        <c:minorTickMark val="none"/>
        <c:tickLblPos val="nextTo"/>
        <c:crossAx val="87683840"/>
        <c:crosses val="autoZero"/>
        <c:crossBetween val="between"/>
      </c:valAx>
    </c:plotArea>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b="0"/>
            </a:pPr>
            <a:r>
              <a:rPr lang="en-US" sz="1000" b="0"/>
              <a:t>(By Percentage)</a:t>
            </a:r>
          </a:p>
        </c:rich>
      </c:tx>
      <c:layout>
        <c:manualLayout>
          <c:xMode val="edge"/>
          <c:yMode val="edge"/>
          <c:x val="0.44169127765976718"/>
          <c:y val="0.82870370370370372"/>
        </c:manualLayout>
      </c:layout>
      <c:overlay val="0"/>
    </c:title>
    <c:autoTitleDeleted val="0"/>
    <c:view3D>
      <c:rotX val="15"/>
      <c:rotY val="20"/>
      <c:rAngAx val="1"/>
    </c:view3D>
    <c:floor>
      <c:thickness val="0"/>
      <c:spPr>
        <a:solidFill>
          <a:schemeClr val="tx1"/>
        </a:solidFill>
      </c:spPr>
    </c:floor>
    <c:sideWall>
      <c:thickness val="0"/>
    </c:sideWall>
    <c:backWall>
      <c:thickness val="0"/>
    </c:backWall>
    <c:plotArea>
      <c:layout>
        <c:manualLayout>
          <c:layoutTarget val="inner"/>
          <c:xMode val="edge"/>
          <c:yMode val="edge"/>
          <c:x val="0.21037257603873111"/>
          <c:y val="9.4925634295711441E-4"/>
          <c:w val="0.75764389412883626"/>
          <c:h val="0.79997666958296876"/>
        </c:manualLayout>
      </c:layout>
      <c:bar3DChart>
        <c:barDir val="bar"/>
        <c:grouping val="stacked"/>
        <c:varyColors val="0"/>
        <c:ser>
          <c:idx val="0"/>
          <c:order val="0"/>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Summary!$A$4:$A$8</c:f>
              <c:strCache>
                <c:ptCount val="5"/>
                <c:pt idx="0">
                  <c:v>None</c:v>
                </c:pt>
                <c:pt idx="1">
                  <c:v>One</c:v>
                </c:pt>
                <c:pt idx="2">
                  <c:v>Two to five</c:v>
                </c:pt>
                <c:pt idx="3">
                  <c:v>More than five</c:v>
                </c:pt>
                <c:pt idx="4">
                  <c:v>We just don't know</c:v>
                </c:pt>
              </c:strCache>
            </c:strRef>
          </c:cat>
          <c:val>
            <c:numRef>
              <c:f>Summary!$B$4:$B$8</c:f>
              <c:numCache>
                <c:formatCode>General</c:formatCode>
                <c:ptCount val="5"/>
                <c:pt idx="0">
                  <c:v>37.4</c:v>
                </c:pt>
                <c:pt idx="1">
                  <c:v>4.5</c:v>
                </c:pt>
                <c:pt idx="2">
                  <c:v>2</c:v>
                </c:pt>
                <c:pt idx="3">
                  <c:v>3.5</c:v>
                </c:pt>
                <c:pt idx="4">
                  <c:v>52.5</c:v>
                </c:pt>
              </c:numCache>
            </c:numRef>
          </c:val>
        </c:ser>
        <c:dLbls>
          <c:showLegendKey val="0"/>
          <c:showVal val="1"/>
          <c:showCatName val="0"/>
          <c:showSerName val="0"/>
          <c:showPercent val="0"/>
          <c:showBubbleSize val="0"/>
        </c:dLbls>
        <c:gapWidth val="95"/>
        <c:gapDepth val="95"/>
        <c:shape val="box"/>
        <c:axId val="102630912"/>
        <c:axId val="102646144"/>
        <c:axId val="0"/>
      </c:bar3DChart>
      <c:catAx>
        <c:axId val="102630912"/>
        <c:scaling>
          <c:orientation val="minMax"/>
        </c:scaling>
        <c:delete val="0"/>
        <c:axPos val="l"/>
        <c:majorTickMark val="none"/>
        <c:minorTickMark val="none"/>
        <c:tickLblPos val="nextTo"/>
        <c:crossAx val="102646144"/>
        <c:crosses val="autoZero"/>
        <c:auto val="1"/>
        <c:lblAlgn val="ctr"/>
        <c:lblOffset val="100"/>
        <c:noMultiLvlLbl val="0"/>
      </c:catAx>
      <c:valAx>
        <c:axId val="102646144"/>
        <c:scaling>
          <c:orientation val="minMax"/>
        </c:scaling>
        <c:delete val="1"/>
        <c:axPos val="b"/>
        <c:numFmt formatCode="General" sourceLinked="1"/>
        <c:majorTickMark val="none"/>
        <c:minorTickMark val="none"/>
        <c:tickLblPos val="nextTo"/>
        <c:crossAx val="102630912"/>
        <c:crosses val="autoZero"/>
        <c:crossBetween val="between"/>
      </c:valAx>
    </c:plotArea>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b="0"/>
            </a:pPr>
            <a:r>
              <a:rPr lang="en-US" sz="1000" b="0"/>
              <a:t>(By Percentage)</a:t>
            </a:r>
          </a:p>
        </c:rich>
      </c:tx>
      <c:layout>
        <c:manualLayout>
          <c:xMode val="edge"/>
          <c:yMode val="edge"/>
          <c:x val="0.43112169351270141"/>
          <c:y val="0.83333333333333337"/>
        </c:manualLayout>
      </c:layout>
      <c:overlay val="0"/>
    </c:title>
    <c:autoTitleDeleted val="0"/>
    <c:view3D>
      <c:rotX val="15"/>
      <c:rotY val="20"/>
      <c:rAngAx val="1"/>
    </c:view3D>
    <c:floor>
      <c:thickness val="0"/>
      <c:spPr>
        <a:solidFill>
          <a:schemeClr val="tx1"/>
        </a:solidFill>
      </c:spPr>
    </c:floor>
    <c:sideWall>
      <c:thickness val="0"/>
    </c:sideWall>
    <c:backWall>
      <c:thickness val="0"/>
    </c:backWall>
    <c:plotArea>
      <c:layout>
        <c:manualLayout>
          <c:layoutTarget val="inner"/>
          <c:xMode val="edge"/>
          <c:yMode val="edge"/>
          <c:x val="9.9125411419750106E-2"/>
          <c:y val="9.4925634295711441E-4"/>
          <c:w val="0.90039379787760809"/>
          <c:h val="0.79997666958296876"/>
        </c:manualLayout>
      </c:layout>
      <c:bar3DChart>
        <c:barDir val="bar"/>
        <c:grouping val="stacked"/>
        <c:varyColors val="0"/>
        <c:ser>
          <c:idx val="0"/>
          <c:order val="0"/>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Summary!$A$17:$A$19</c:f>
              <c:strCache>
                <c:ptCount val="3"/>
                <c:pt idx="0">
                  <c:v>Yes</c:v>
                </c:pt>
                <c:pt idx="1">
                  <c:v>No</c:v>
                </c:pt>
                <c:pt idx="2">
                  <c:v>Unsure</c:v>
                </c:pt>
              </c:strCache>
            </c:strRef>
          </c:cat>
          <c:val>
            <c:numRef>
              <c:f>Summary!$B$17:$B$19</c:f>
              <c:numCache>
                <c:formatCode>General</c:formatCode>
                <c:ptCount val="3"/>
                <c:pt idx="0">
                  <c:v>7.8</c:v>
                </c:pt>
                <c:pt idx="1">
                  <c:v>80.7</c:v>
                </c:pt>
                <c:pt idx="2">
                  <c:v>11.5</c:v>
                </c:pt>
              </c:numCache>
            </c:numRef>
          </c:val>
        </c:ser>
        <c:dLbls>
          <c:showLegendKey val="0"/>
          <c:showVal val="1"/>
          <c:showCatName val="0"/>
          <c:showSerName val="0"/>
          <c:showPercent val="0"/>
          <c:showBubbleSize val="0"/>
        </c:dLbls>
        <c:gapWidth val="95"/>
        <c:gapDepth val="95"/>
        <c:shape val="box"/>
        <c:axId val="103550336"/>
        <c:axId val="103553280"/>
        <c:axId val="0"/>
      </c:bar3DChart>
      <c:catAx>
        <c:axId val="103550336"/>
        <c:scaling>
          <c:orientation val="minMax"/>
        </c:scaling>
        <c:delete val="0"/>
        <c:axPos val="l"/>
        <c:majorTickMark val="none"/>
        <c:minorTickMark val="none"/>
        <c:tickLblPos val="nextTo"/>
        <c:crossAx val="103553280"/>
        <c:crosses val="autoZero"/>
        <c:auto val="1"/>
        <c:lblAlgn val="ctr"/>
        <c:lblOffset val="100"/>
        <c:noMultiLvlLbl val="0"/>
      </c:catAx>
      <c:valAx>
        <c:axId val="103553280"/>
        <c:scaling>
          <c:orientation val="minMax"/>
        </c:scaling>
        <c:delete val="1"/>
        <c:axPos val="b"/>
        <c:numFmt formatCode="General" sourceLinked="1"/>
        <c:majorTickMark val="none"/>
        <c:minorTickMark val="none"/>
        <c:tickLblPos val="nextTo"/>
        <c:crossAx val="103550336"/>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b="0"/>
            </a:pPr>
            <a:r>
              <a:rPr lang="en-US" sz="1000" b="0"/>
              <a:t>(By Percentage)</a:t>
            </a:r>
          </a:p>
        </c:rich>
      </c:tx>
      <c:layout>
        <c:manualLayout>
          <c:xMode val="edge"/>
          <c:yMode val="edge"/>
          <c:x val="0.43567631189285499"/>
          <c:y val="0.81944444444444442"/>
        </c:manualLayout>
      </c:layout>
      <c:overlay val="0"/>
    </c:title>
    <c:autoTitleDeleted val="0"/>
    <c:view3D>
      <c:rotX val="15"/>
      <c:rotY val="20"/>
      <c:rAngAx val="1"/>
    </c:view3D>
    <c:floor>
      <c:thickness val="0"/>
      <c:spPr>
        <a:solidFill>
          <a:schemeClr val="tx1"/>
        </a:solidFill>
      </c:spPr>
    </c:floor>
    <c:sideWall>
      <c:thickness val="0"/>
    </c:sideWall>
    <c:backWall>
      <c:thickness val="0"/>
    </c:backWall>
    <c:plotArea>
      <c:layout>
        <c:manualLayout>
          <c:layoutTarget val="inner"/>
          <c:xMode val="edge"/>
          <c:yMode val="edge"/>
          <c:x val="5.6171944853047218E-2"/>
          <c:y val="9.4762606613465051E-4"/>
          <c:w val="0.94382805650838442"/>
          <c:h val="0.79997666958296876"/>
        </c:manualLayout>
      </c:layout>
      <c:bar3DChart>
        <c:barDir val="bar"/>
        <c:grouping val="stacked"/>
        <c:varyColors val="0"/>
        <c:ser>
          <c:idx val="0"/>
          <c:order val="0"/>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Summary!$A$28:$A$29</c:f>
              <c:strCache>
                <c:ptCount val="2"/>
                <c:pt idx="0">
                  <c:v>Yes</c:v>
                </c:pt>
                <c:pt idx="1">
                  <c:v>No</c:v>
                </c:pt>
              </c:strCache>
            </c:strRef>
          </c:cat>
          <c:val>
            <c:numRef>
              <c:f>Summary!$B$28:$B$29</c:f>
              <c:numCache>
                <c:formatCode>General</c:formatCode>
                <c:ptCount val="2"/>
                <c:pt idx="0">
                  <c:v>9.6999999999999993</c:v>
                </c:pt>
                <c:pt idx="1">
                  <c:v>90.3</c:v>
                </c:pt>
              </c:numCache>
            </c:numRef>
          </c:val>
        </c:ser>
        <c:dLbls>
          <c:showLegendKey val="0"/>
          <c:showVal val="1"/>
          <c:showCatName val="0"/>
          <c:showSerName val="0"/>
          <c:showPercent val="0"/>
          <c:showBubbleSize val="0"/>
        </c:dLbls>
        <c:gapWidth val="95"/>
        <c:gapDepth val="95"/>
        <c:shape val="box"/>
        <c:axId val="103572992"/>
        <c:axId val="103575936"/>
        <c:axId val="0"/>
      </c:bar3DChart>
      <c:catAx>
        <c:axId val="103572992"/>
        <c:scaling>
          <c:orientation val="minMax"/>
        </c:scaling>
        <c:delete val="0"/>
        <c:axPos val="l"/>
        <c:majorTickMark val="none"/>
        <c:minorTickMark val="none"/>
        <c:tickLblPos val="nextTo"/>
        <c:crossAx val="103575936"/>
        <c:crosses val="autoZero"/>
        <c:auto val="1"/>
        <c:lblAlgn val="ctr"/>
        <c:lblOffset val="100"/>
        <c:noMultiLvlLbl val="0"/>
      </c:catAx>
      <c:valAx>
        <c:axId val="103575936"/>
        <c:scaling>
          <c:orientation val="minMax"/>
        </c:scaling>
        <c:delete val="1"/>
        <c:axPos val="b"/>
        <c:numFmt formatCode="General" sourceLinked="1"/>
        <c:majorTickMark val="none"/>
        <c:minorTickMark val="none"/>
        <c:tickLblPos val="nextTo"/>
        <c:crossAx val="103572992"/>
        <c:crosses val="autoZero"/>
        <c:crossBetween val="between"/>
      </c:valAx>
    </c:plotArea>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b="0"/>
            </a:pPr>
            <a:r>
              <a:rPr lang="en-US" sz="1000" b="0"/>
              <a:t>(By Percentage)</a:t>
            </a:r>
          </a:p>
        </c:rich>
      </c:tx>
      <c:layout>
        <c:manualLayout>
          <c:xMode val="edge"/>
          <c:yMode val="edge"/>
          <c:x val="0.58441696244207741"/>
          <c:y val="0.90548802314743349"/>
        </c:manualLayout>
      </c:layout>
      <c:overlay val="0"/>
    </c:title>
    <c:autoTitleDeleted val="0"/>
    <c:view3D>
      <c:rotX val="15"/>
      <c:rotY val="20"/>
      <c:rAngAx val="1"/>
    </c:view3D>
    <c:floor>
      <c:thickness val="0"/>
      <c:spPr>
        <a:solidFill>
          <a:schemeClr val="tx1"/>
        </a:solidFill>
      </c:spPr>
    </c:floor>
    <c:sideWall>
      <c:thickness val="0"/>
    </c:sideWall>
    <c:backWall>
      <c:thickness val="0"/>
    </c:backWall>
    <c:plotArea>
      <c:layout>
        <c:manualLayout>
          <c:layoutTarget val="inner"/>
          <c:xMode val="edge"/>
          <c:yMode val="edge"/>
          <c:x val="0.49931786167795755"/>
          <c:y val="1.1704092543987557E-2"/>
          <c:w val="0.46419797090240461"/>
          <c:h val="0.87450458030927869"/>
        </c:manualLayout>
      </c:layout>
      <c:bar3DChart>
        <c:barDir val="bar"/>
        <c:grouping val="stacked"/>
        <c:varyColors val="0"/>
        <c:ser>
          <c:idx val="0"/>
          <c:order val="0"/>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Summary!$A$38:$A$42</c:f>
              <c:strCache>
                <c:ptCount val="5"/>
                <c:pt idx="0">
                  <c:v>I would ignore the positive test result knowing that the marijuana use is for a medical need</c:v>
                </c:pt>
                <c:pt idx="1">
                  <c:v>I would have no problem with the positive test as long as the employee has not shown up to work impaired</c:v>
                </c:pt>
                <c:pt idx="2">
                  <c:v>I would forego testing if the employee is willing to demonstrate on a routine basis that they are fit for duty and not coming to work impaired</c:v>
                </c:pt>
                <c:pt idx="3">
                  <c:v>I would forego testing if the employee is willing to be reassigned to other job duties, if available, that are not safety sensitive</c:v>
                </c:pt>
                <c:pt idx="4">
                  <c:v>I would treat the employee no differently than any other employee who has a tested positive for controlled substances</c:v>
                </c:pt>
              </c:strCache>
            </c:strRef>
          </c:cat>
          <c:val>
            <c:numRef>
              <c:f>Summary!$B$38:$B$42</c:f>
              <c:numCache>
                <c:formatCode>General</c:formatCode>
                <c:ptCount val="5"/>
                <c:pt idx="0">
                  <c:v>9</c:v>
                </c:pt>
                <c:pt idx="1">
                  <c:v>27.1</c:v>
                </c:pt>
                <c:pt idx="2">
                  <c:v>7.7</c:v>
                </c:pt>
                <c:pt idx="3">
                  <c:v>4.5</c:v>
                </c:pt>
                <c:pt idx="4">
                  <c:v>51.6</c:v>
                </c:pt>
              </c:numCache>
            </c:numRef>
          </c:val>
        </c:ser>
        <c:dLbls>
          <c:showLegendKey val="0"/>
          <c:showVal val="1"/>
          <c:showCatName val="0"/>
          <c:showSerName val="0"/>
          <c:showPercent val="0"/>
          <c:showBubbleSize val="0"/>
        </c:dLbls>
        <c:gapWidth val="95"/>
        <c:gapDepth val="95"/>
        <c:shape val="box"/>
        <c:axId val="103595392"/>
        <c:axId val="105261312"/>
        <c:axId val="0"/>
      </c:bar3DChart>
      <c:catAx>
        <c:axId val="103595392"/>
        <c:scaling>
          <c:orientation val="minMax"/>
        </c:scaling>
        <c:delete val="0"/>
        <c:axPos val="l"/>
        <c:majorTickMark val="none"/>
        <c:minorTickMark val="none"/>
        <c:tickLblPos val="nextTo"/>
        <c:crossAx val="105261312"/>
        <c:crosses val="autoZero"/>
        <c:auto val="1"/>
        <c:lblAlgn val="ctr"/>
        <c:lblOffset val="100"/>
        <c:noMultiLvlLbl val="0"/>
      </c:catAx>
      <c:valAx>
        <c:axId val="105261312"/>
        <c:scaling>
          <c:orientation val="minMax"/>
        </c:scaling>
        <c:delete val="1"/>
        <c:axPos val="b"/>
        <c:numFmt formatCode="General" sourceLinked="1"/>
        <c:majorTickMark val="none"/>
        <c:minorTickMark val="none"/>
        <c:tickLblPos val="nextTo"/>
        <c:crossAx val="103595392"/>
        <c:crosses val="autoZero"/>
        <c:crossBetween val="between"/>
      </c:valAx>
    </c:plotArea>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baseline="0"/>
              <a:t>(By Percentage)</a:t>
            </a:r>
            <a:endParaRPr lang="en-US" sz="1000" b="0"/>
          </a:p>
        </c:rich>
      </c:tx>
      <c:layout>
        <c:manualLayout>
          <c:xMode val="edge"/>
          <c:yMode val="edge"/>
          <c:x val="0.33725996047720369"/>
          <c:y val="0.83086332958380216"/>
        </c:manualLayout>
      </c:layout>
      <c:overlay val="0"/>
    </c:title>
    <c:autoTitleDeleted val="0"/>
    <c:view3D>
      <c:rotX val="15"/>
      <c:rotY val="20"/>
      <c:rAngAx val="0"/>
      <c:perspective val="30"/>
    </c:view3D>
    <c:floor>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floor>
    <c:sideWall>
      <c:thickness val="0"/>
    </c:sideWall>
    <c:backWall>
      <c:thickness val="0"/>
    </c:backWall>
    <c:plotArea>
      <c:layout>
        <c:manualLayout>
          <c:layoutTarget val="inner"/>
          <c:xMode val="edge"/>
          <c:yMode val="edge"/>
          <c:x val="2.5259563060080042E-6"/>
          <c:y val="7.2079805813747132E-4"/>
          <c:w val="0.95294985387342768"/>
          <c:h val="0.70614393468265779"/>
        </c:manualLayout>
      </c:layout>
      <c:bar3DChart>
        <c:barDir val="col"/>
        <c:grouping val="standard"/>
        <c:varyColors val="0"/>
        <c:ser>
          <c:idx val="0"/>
          <c:order val="0"/>
          <c:invertIfNegative val="0"/>
          <c:dLbls>
            <c:dLbl>
              <c:idx val="0"/>
              <c:layout>
                <c:manualLayout>
                  <c:x val="2.5101513473606469E-2"/>
                  <c:y val="0.15347721822541965"/>
                </c:manualLayout>
              </c:layout>
              <c:spPr/>
              <c:txPr>
                <a:bodyPr/>
                <a:lstStyle/>
                <a:p>
                  <a:pPr>
                    <a:defRPr sz="1050" b="1">
                      <a:solidFill>
                        <a:schemeClr val="bg1"/>
                      </a:solidFill>
                    </a:defRPr>
                  </a:pPr>
                  <a:endParaRPr lang="en-US"/>
                </a:p>
              </c:txPr>
              <c:showLegendKey val="0"/>
              <c:showVal val="1"/>
              <c:showCatName val="0"/>
              <c:showSerName val="0"/>
              <c:showPercent val="0"/>
              <c:showBubbleSize val="0"/>
            </c:dLbl>
            <c:dLbl>
              <c:idx val="1"/>
              <c:layout>
                <c:manualLayout>
                  <c:x val="1.4765596160944944E-2"/>
                  <c:y val="1.9184652278177457E-2"/>
                </c:manualLayout>
              </c:layout>
              <c:spPr/>
              <c:txPr>
                <a:bodyPr/>
                <a:lstStyle/>
                <a:p>
                  <a:pPr>
                    <a:defRPr sz="1050" b="1">
                      <a:solidFill>
                        <a:schemeClr val="bg1"/>
                      </a:solidFill>
                    </a:defRPr>
                  </a:pPr>
                  <a:endParaRPr lang="en-US"/>
                </a:p>
              </c:txPr>
              <c:showLegendKey val="0"/>
              <c:showVal val="1"/>
              <c:showCatName val="0"/>
              <c:showSerName val="0"/>
              <c:showPercent val="0"/>
              <c:showBubbleSize val="0"/>
            </c:dLbl>
            <c:dLbl>
              <c:idx val="2"/>
              <c:layout>
                <c:manualLayout>
                  <c:x val="8.8593576965669985E-3"/>
                  <c:y val="1.9184652278177457E-2"/>
                </c:manualLayout>
              </c:layout>
              <c:tx>
                <c:rich>
                  <a:bodyPr/>
                  <a:lstStyle/>
                  <a:p>
                    <a:r>
                      <a:rPr lang="en-US" sz="1050" b="1" baseline="0">
                        <a:solidFill>
                          <a:schemeClr val="bg1"/>
                        </a:solidFill>
                      </a:rPr>
                      <a:t>10.3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Coverage!$A$3:$A$5</c:f>
              <c:strCache>
                <c:ptCount val="3"/>
                <c:pt idx="0">
                  <c:v>I am satisfied with the set of  topics that the Department has addressed in this survey.</c:v>
                </c:pt>
                <c:pt idx="1">
                  <c:v>I think the survey identifies some topics that are not important and do not need to be further addressed.</c:v>
                </c:pt>
                <c:pt idx="2">
                  <c:v>I think there are some important topics or issues that the survey has not addressed (please specify).</c:v>
                </c:pt>
              </c:strCache>
            </c:strRef>
          </c:cat>
          <c:val>
            <c:numRef>
              <c:f>Coverage!$C$3:$C$5</c:f>
              <c:numCache>
                <c:formatCode>General</c:formatCode>
                <c:ptCount val="3"/>
                <c:pt idx="0">
                  <c:v>82.6</c:v>
                </c:pt>
                <c:pt idx="1">
                  <c:v>9.8000000000000007</c:v>
                </c:pt>
                <c:pt idx="2">
                  <c:v>10.3</c:v>
                </c:pt>
              </c:numCache>
            </c:numRef>
          </c:val>
        </c:ser>
        <c:dLbls>
          <c:showLegendKey val="0"/>
          <c:showVal val="1"/>
          <c:showCatName val="0"/>
          <c:showSerName val="0"/>
          <c:showPercent val="0"/>
          <c:showBubbleSize val="0"/>
        </c:dLbls>
        <c:gapWidth val="150"/>
        <c:shape val="cylinder"/>
        <c:axId val="120653312"/>
        <c:axId val="120651776"/>
        <c:axId val="203782336"/>
      </c:bar3DChart>
      <c:valAx>
        <c:axId val="120651776"/>
        <c:scaling>
          <c:orientation val="minMax"/>
        </c:scaling>
        <c:delete val="1"/>
        <c:axPos val="l"/>
        <c:numFmt formatCode="General" sourceLinked="1"/>
        <c:majorTickMark val="none"/>
        <c:minorTickMark val="none"/>
        <c:tickLblPos val="nextTo"/>
        <c:crossAx val="120653312"/>
        <c:crosses val="autoZero"/>
        <c:crossBetween val="between"/>
      </c:valAx>
      <c:catAx>
        <c:axId val="120653312"/>
        <c:scaling>
          <c:orientation val="minMax"/>
        </c:scaling>
        <c:delete val="0"/>
        <c:axPos val="b"/>
        <c:majorTickMark val="none"/>
        <c:minorTickMark val="none"/>
        <c:tickLblPos val="nextTo"/>
        <c:crossAx val="120651776"/>
        <c:crosses val="autoZero"/>
        <c:auto val="1"/>
        <c:lblAlgn val="ctr"/>
        <c:lblOffset val="100"/>
        <c:noMultiLvlLbl val="0"/>
      </c:catAx>
      <c:serAx>
        <c:axId val="203782336"/>
        <c:scaling>
          <c:orientation val="minMax"/>
        </c:scaling>
        <c:delete val="1"/>
        <c:axPos val="b"/>
        <c:majorTickMark val="out"/>
        <c:minorTickMark val="none"/>
        <c:tickLblPos val="nextTo"/>
        <c:crossAx val="120651776"/>
        <c:crosses val="autoZero"/>
      </c:ser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6.7611874764576668E-2"/>
                  <c:y val="0.11125389066143684"/>
                </c:manualLayout>
              </c:layout>
              <c:tx>
                <c:rich>
                  <a:bodyPr/>
                  <a:lstStyle/>
                  <a:p>
                    <a:pPr>
                      <a:defRPr sz="800" b="1" i="0" baseline="0">
                        <a:solidFill>
                          <a:schemeClr val="bg1"/>
                        </a:solidFill>
                      </a:defRPr>
                    </a:pPr>
                    <a:r>
                      <a:rPr lang="en-US" sz="800"/>
                      <a:t>Aroostook</a:t>
                    </a:r>
                  </a:p>
                  <a:p>
                    <a:pPr>
                      <a:defRPr sz="800" b="1" i="0" baseline="0">
                        <a:solidFill>
                          <a:schemeClr val="bg1"/>
                        </a:solidFill>
                      </a:defRPr>
                    </a:pPr>
                    <a:r>
                      <a:rPr lang="en-US" sz="800"/>
                      <a:t> County
8%</a:t>
                    </a:r>
                    <a:endParaRPr lang="en-US"/>
                  </a:p>
                </c:rich>
              </c:tx>
              <c:spPr/>
              <c:showLegendKey val="0"/>
              <c:showVal val="0"/>
              <c:showCatName val="1"/>
              <c:showSerName val="0"/>
              <c:showPercent val="1"/>
              <c:showBubbleSize val="0"/>
            </c:dLbl>
            <c:dLbl>
              <c:idx val="1"/>
              <c:layout>
                <c:manualLayout>
                  <c:x val="-0.14595609317731209"/>
                  <c:y val="6.5750665925123672E-2"/>
                </c:manualLayout>
              </c:layout>
              <c:spPr/>
              <c:txPr>
                <a:bodyPr/>
                <a:lstStyle/>
                <a:p>
                  <a:pPr>
                    <a:defRPr sz="800" b="1" i="0" baseline="0">
                      <a:solidFill>
                        <a:schemeClr val="bg1"/>
                      </a:solidFill>
                    </a:defRPr>
                  </a:pPr>
                  <a:endParaRPr lang="en-US"/>
                </a:p>
              </c:txPr>
              <c:showLegendKey val="0"/>
              <c:showVal val="0"/>
              <c:showCatName val="1"/>
              <c:showSerName val="0"/>
              <c:showPercent val="1"/>
              <c:showBubbleSize val="0"/>
            </c:dLbl>
            <c:dLbl>
              <c:idx val="2"/>
              <c:layout>
                <c:manualLayout>
                  <c:x val="-0.13921928496893438"/>
                  <c:y val="-0.15268623949887306"/>
                </c:manualLayout>
              </c:layout>
              <c:showLegendKey val="0"/>
              <c:showVal val="0"/>
              <c:showCatName val="1"/>
              <c:showSerName val="0"/>
              <c:showPercent val="1"/>
              <c:showBubbleSize val="0"/>
            </c:dLbl>
            <c:dLbl>
              <c:idx val="3"/>
              <c:layout>
                <c:manualLayout>
                  <c:x val="-8.3363774206757141E-2"/>
                  <c:y val="-0.29136863468274643"/>
                </c:manualLayout>
              </c:layout>
              <c:spPr/>
              <c:txPr>
                <a:bodyPr/>
                <a:lstStyle/>
                <a:p>
                  <a:pPr>
                    <a:defRPr sz="800" b="1" i="0" baseline="0">
                      <a:solidFill>
                        <a:schemeClr val="bg1"/>
                      </a:solidFill>
                    </a:defRPr>
                  </a:pPr>
                  <a:endParaRPr lang="en-US"/>
                </a:p>
              </c:txPr>
              <c:showLegendKey val="0"/>
              <c:showVal val="0"/>
              <c:showCatName val="1"/>
              <c:showSerName val="0"/>
              <c:showPercent val="1"/>
              <c:showBubbleSize val="0"/>
            </c:dLbl>
            <c:dLbl>
              <c:idx val="4"/>
              <c:layout>
                <c:manualLayout>
                  <c:x val="0.17235914795312074"/>
                  <c:y val="-0.23013728302549541"/>
                </c:manualLayout>
              </c:layout>
              <c:spPr/>
              <c:txPr>
                <a:bodyPr/>
                <a:lstStyle/>
                <a:p>
                  <a:pPr>
                    <a:defRPr sz="800" b="1" i="0" baseline="0">
                      <a:solidFill>
                        <a:schemeClr val="bg1"/>
                      </a:solidFill>
                    </a:defRPr>
                  </a:pPr>
                  <a:endParaRPr lang="en-US"/>
                </a:p>
              </c:txPr>
              <c:showLegendKey val="0"/>
              <c:showVal val="0"/>
              <c:showCatName val="1"/>
              <c:showSerName val="0"/>
              <c:showPercent val="1"/>
              <c:showBubbleSize val="0"/>
            </c:dLbl>
            <c:dLbl>
              <c:idx val="5"/>
              <c:layout>
                <c:manualLayout>
                  <c:x val="0.10399221047654922"/>
                  <c:y val="-0.1307806691449814"/>
                </c:manualLayout>
              </c:layout>
              <c:tx>
                <c:rich>
                  <a:bodyPr/>
                  <a:lstStyle/>
                  <a:p>
                    <a:r>
                      <a:rPr lang="en-US" sz="800"/>
                      <a:t>Washington </a:t>
                    </a:r>
                    <a:r>
                      <a:rPr lang="en-US" sz="800" baseline="0"/>
                      <a:t> </a:t>
                    </a:r>
                    <a:r>
                      <a:rPr lang="en-US" sz="800"/>
                      <a:t>or HancockCounty
8%</a:t>
                    </a:r>
                    <a:endParaRPr lang="en-US"/>
                  </a:p>
                </c:rich>
              </c:tx>
              <c:showLegendKey val="0"/>
              <c:showVal val="0"/>
              <c:showCatName val="1"/>
              <c:showSerName val="0"/>
              <c:showPercent val="1"/>
              <c:showBubbleSize val="0"/>
            </c:dLbl>
            <c:dLbl>
              <c:idx val="6"/>
              <c:layout>
                <c:manualLayout>
                  <c:x val="0.144721717477623"/>
                  <c:y val="3.3745822965831243E-2"/>
                </c:manualLayout>
              </c:layout>
              <c:tx>
                <c:rich>
                  <a:bodyPr/>
                  <a:lstStyle/>
                  <a:p>
                    <a:r>
                      <a:rPr lang="en-US" sz="800"/>
                      <a:t>Waldo, Knox</a:t>
                    </a:r>
                  </a:p>
                  <a:p>
                    <a:r>
                      <a:rPr lang="en-US" sz="800"/>
                      <a:t> or Lincoln County
9%</a:t>
                    </a:r>
                    <a:endParaRPr lang="en-US"/>
                  </a:p>
                </c:rich>
              </c:tx>
              <c:showLegendKey val="0"/>
              <c:showVal val="0"/>
              <c:showCatName val="1"/>
              <c:showSerName val="0"/>
              <c:showPercent val="1"/>
              <c:showBubbleSize val="0"/>
            </c:dLbl>
            <c:dLbl>
              <c:idx val="7"/>
              <c:layout>
                <c:manualLayout>
                  <c:x val="0.10861743929550861"/>
                  <c:y val="7.7212188625120748E-2"/>
                </c:manualLayout>
              </c:layout>
              <c:tx>
                <c:rich>
                  <a:bodyPr/>
                  <a:lstStyle/>
                  <a:p>
                    <a:r>
                      <a:rPr lang="en-US" sz="800"/>
                      <a:t>Oxford or</a:t>
                    </a:r>
                  </a:p>
                  <a:p>
                    <a:r>
                      <a:rPr lang="en-US" sz="800"/>
                      <a:t> Franklin County
8%</a:t>
                    </a:r>
                    <a:endParaRPr lang="en-US" sz="1100"/>
                  </a:p>
                </c:rich>
              </c:tx>
              <c:showLegendKey val="0"/>
              <c:showVal val="0"/>
              <c:showCatName val="1"/>
              <c:showSerName val="0"/>
              <c:showPercent val="1"/>
              <c:showBubbleSize val="0"/>
            </c:dLbl>
            <c:dLbl>
              <c:idx val="8"/>
              <c:layout>
                <c:manualLayout>
                  <c:x val="5.7324472685882526E-2"/>
                  <c:y val="8.4719335733590917E-2"/>
                </c:manualLayout>
              </c:layout>
              <c:showLegendKey val="0"/>
              <c:showVal val="0"/>
              <c:showCatName val="1"/>
              <c:showSerName val="0"/>
              <c:showPercent val="1"/>
              <c:showBubbleSize val="0"/>
            </c:dLbl>
            <c:txPr>
              <a:bodyPr/>
              <a:lstStyle/>
              <a:p>
                <a:pPr>
                  <a:defRPr sz="800" b="1" i="0" baseline="0"/>
                </a:pPr>
                <a:endParaRPr lang="en-US"/>
              </a:p>
            </c:txPr>
            <c:showLegendKey val="0"/>
            <c:showVal val="0"/>
            <c:showCatName val="1"/>
            <c:showSerName val="0"/>
            <c:showPercent val="1"/>
            <c:showBubbleSize val="0"/>
            <c:showLeaderLines val="1"/>
          </c:dLbls>
          <c:cat>
            <c:strRef>
              <c:f>Geography!$B$2:$B$10</c:f>
              <c:strCache>
                <c:ptCount val="9"/>
                <c:pt idx="0">
                  <c:v>Aroostook County</c:v>
                </c:pt>
                <c:pt idx="1">
                  <c:v>Androscoggin County</c:v>
                </c:pt>
                <c:pt idx="2">
                  <c:v>Cumberland, Sagadahoc or York County</c:v>
                </c:pt>
                <c:pt idx="3">
                  <c:v>Kennebec County</c:v>
                </c:pt>
                <c:pt idx="4">
                  <c:v>Somerset, Penobscot or Piscataquis County</c:v>
                </c:pt>
                <c:pt idx="5">
                  <c:v>Washington or Hancock County</c:v>
                </c:pt>
                <c:pt idx="6">
                  <c:v>Waldo, Knox or Lincoln County</c:v>
                </c:pt>
                <c:pt idx="7">
                  <c:v>Oxford or Franklin County</c:v>
                </c:pt>
                <c:pt idx="8">
                  <c:v>Out of State</c:v>
                </c:pt>
              </c:strCache>
            </c:strRef>
          </c:cat>
          <c:val>
            <c:numRef>
              <c:f>Geography!$C$2:$C$10</c:f>
              <c:numCache>
                <c:formatCode>General</c:formatCode>
                <c:ptCount val="9"/>
                <c:pt idx="0">
                  <c:v>19.899999999999999</c:v>
                </c:pt>
                <c:pt idx="1">
                  <c:v>28</c:v>
                </c:pt>
                <c:pt idx="2">
                  <c:v>50.8</c:v>
                </c:pt>
                <c:pt idx="3">
                  <c:v>25.2</c:v>
                </c:pt>
                <c:pt idx="4">
                  <c:v>34.6</c:v>
                </c:pt>
                <c:pt idx="5">
                  <c:v>18.3</c:v>
                </c:pt>
                <c:pt idx="6">
                  <c:v>22</c:v>
                </c:pt>
                <c:pt idx="7">
                  <c:v>19.899999999999999</c:v>
                </c:pt>
                <c:pt idx="8">
                  <c:v>15.4</c:v>
                </c:pt>
              </c:numCache>
            </c:numRef>
          </c:val>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15"/>
      <c:rotY val="20"/>
      <c:rAngAx val="1"/>
    </c:view3D>
    <c:floor>
      <c:thickness val="0"/>
      <c:spPr>
        <a:solidFill>
          <a:schemeClr val="tx1"/>
        </a:solidFill>
      </c:spPr>
    </c:floor>
    <c:sideWall>
      <c:thickness val="0"/>
    </c:sideWall>
    <c:backWall>
      <c:thickness val="0"/>
    </c:backWall>
    <c:plotArea>
      <c:layout/>
      <c:bar3DChart>
        <c:barDir val="bar"/>
        <c:grouping val="clustered"/>
        <c:varyColors val="0"/>
        <c:ser>
          <c:idx val="0"/>
          <c:order val="0"/>
          <c:invertIfNegative val="0"/>
          <c:dLbls>
            <c:dLbl>
              <c:idx val="0"/>
              <c:layout>
                <c:manualLayout>
                  <c:x val="-4.7050146126572302E-2"/>
                  <c:y val="3.8238396227466068E-3"/>
                </c:manualLayout>
              </c:layout>
              <c:showLegendKey val="0"/>
              <c:showVal val="1"/>
              <c:showCatName val="0"/>
              <c:showSerName val="0"/>
              <c:showPercent val="0"/>
              <c:showBubbleSize val="0"/>
            </c:dLbl>
            <c:dLbl>
              <c:idx val="1"/>
              <c:layout>
                <c:manualLayout>
                  <c:x val="-6.4159290172598596E-2"/>
                  <c:y val="0"/>
                </c:manualLayout>
              </c:layout>
              <c:showLegendKey val="0"/>
              <c:showVal val="1"/>
              <c:showCatName val="0"/>
              <c:showSerName val="0"/>
              <c:showPercent val="0"/>
              <c:showBubbleSize val="0"/>
            </c:dLbl>
            <c:dLbl>
              <c:idx val="2"/>
              <c:layout>
                <c:manualLayout>
                  <c:x val="-7.91297912128716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Incident!$B$3:$B$5</c:f>
              <c:strCache>
                <c:ptCount val="3"/>
                <c:pt idx="0">
                  <c:v>Yes, we have had one or more employee incidents that we suspected were caused by substance use or abuse</c:v>
                </c:pt>
                <c:pt idx="1">
                  <c:v>No, we have not yet had an incident, but are concerned that we could</c:v>
                </c:pt>
                <c:pt idx="2">
                  <c:v>No, we have not had an incident</c:v>
                </c:pt>
              </c:strCache>
            </c:strRef>
          </c:cat>
          <c:val>
            <c:numRef>
              <c:f>Incident!$D$3:$D$5</c:f>
              <c:numCache>
                <c:formatCode>General</c:formatCode>
                <c:ptCount val="3"/>
                <c:pt idx="0">
                  <c:v>81</c:v>
                </c:pt>
                <c:pt idx="1">
                  <c:v>64</c:v>
                </c:pt>
                <c:pt idx="2">
                  <c:v>85</c:v>
                </c:pt>
              </c:numCache>
            </c:numRef>
          </c:val>
        </c:ser>
        <c:dLbls>
          <c:showLegendKey val="0"/>
          <c:showVal val="1"/>
          <c:showCatName val="0"/>
          <c:showSerName val="0"/>
          <c:showPercent val="0"/>
          <c:showBubbleSize val="0"/>
        </c:dLbls>
        <c:gapWidth val="150"/>
        <c:shape val="box"/>
        <c:axId val="157072384"/>
        <c:axId val="157069696"/>
        <c:axId val="0"/>
      </c:bar3DChart>
      <c:valAx>
        <c:axId val="157069696"/>
        <c:scaling>
          <c:orientation val="minMax"/>
        </c:scaling>
        <c:delete val="1"/>
        <c:axPos val="b"/>
        <c:numFmt formatCode="General" sourceLinked="1"/>
        <c:majorTickMark val="out"/>
        <c:minorTickMark val="none"/>
        <c:tickLblPos val="nextTo"/>
        <c:crossAx val="157072384"/>
        <c:crosses val="autoZero"/>
        <c:crossBetween val="between"/>
      </c:valAx>
      <c:catAx>
        <c:axId val="157072384"/>
        <c:scaling>
          <c:orientation val="minMax"/>
        </c:scaling>
        <c:delete val="0"/>
        <c:axPos val="l"/>
        <c:majorTickMark val="none"/>
        <c:minorTickMark val="none"/>
        <c:tickLblPos val="nextTo"/>
        <c:crossAx val="157069696"/>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5"/>
    </mc:Choice>
    <mc:Fallback>
      <c:style val="45"/>
    </mc:Fallback>
  </mc:AlternateContent>
  <c:chart>
    <c:autoTitleDeleted val="1"/>
    <c:view3D>
      <c:rotX val="15"/>
      <c:rotY val="20"/>
      <c:rAngAx val="1"/>
    </c:view3D>
    <c:floor>
      <c:thickness val="0"/>
      <c:spPr>
        <a:solidFill>
          <a:schemeClr val="tx1"/>
        </a:solidFill>
      </c:spPr>
    </c:floor>
    <c:sideWall>
      <c:thickness val="0"/>
      <c:spPr>
        <a:noFill/>
      </c:spPr>
    </c:sideWall>
    <c:backWall>
      <c:thickness val="0"/>
      <c:spPr>
        <a:noFill/>
      </c:spPr>
    </c:backWall>
    <c:plotArea>
      <c:layout>
        <c:manualLayout>
          <c:layoutTarget val="inner"/>
          <c:xMode val="edge"/>
          <c:yMode val="edge"/>
          <c:x val="0.48686512572657653"/>
          <c:y val="2.186296862145963E-2"/>
          <c:w val="0.51276586884078867"/>
          <c:h val="0.93098383754662251"/>
        </c:manualLayout>
      </c:layout>
      <c:bar3DChart>
        <c:barDir val="bar"/>
        <c:grouping val="clustered"/>
        <c:varyColors val="0"/>
        <c:ser>
          <c:idx val="0"/>
          <c:order val="0"/>
          <c:invertIfNegative val="0"/>
          <c:dLbls>
            <c:dLbl>
              <c:idx val="0"/>
              <c:layout>
                <c:manualLayout>
                  <c:x val="-3.5940802385488219E-2"/>
                  <c:y val="-4.2162686885279643E-3"/>
                </c:manualLayout>
              </c:layout>
              <c:showLegendKey val="0"/>
              <c:showVal val="1"/>
              <c:showCatName val="0"/>
              <c:showSerName val="0"/>
              <c:showPercent val="0"/>
              <c:showBubbleSize val="0"/>
            </c:dLbl>
            <c:dLbl>
              <c:idx val="1"/>
              <c:layout>
                <c:manualLayout>
                  <c:x val="-3.9934224872764684E-2"/>
                  <c:y val="0"/>
                </c:manualLayout>
              </c:layout>
              <c:showLegendKey val="0"/>
              <c:showVal val="1"/>
              <c:showCatName val="0"/>
              <c:showSerName val="0"/>
              <c:showPercent val="0"/>
              <c:showBubbleSize val="0"/>
            </c:dLbl>
            <c:dLbl>
              <c:idx val="3"/>
              <c:layout>
                <c:manualLayout>
                  <c:x val="-5.1914492334594088E-2"/>
                  <c:y val="-4.2162686885279643E-3"/>
                </c:manualLayout>
              </c:layout>
              <c:showLegendKey val="0"/>
              <c:showVal val="1"/>
              <c:showCatName val="0"/>
              <c:showSerName val="0"/>
              <c:showPercent val="0"/>
              <c:showBubbleSize val="0"/>
            </c:dLbl>
            <c:dLbl>
              <c:idx val="4"/>
              <c:layout>
                <c:manualLayout>
                  <c:x val="-3.1947379898211746E-2"/>
                  <c:y val="0"/>
                </c:manualLayout>
              </c:layout>
              <c:showLegendKey val="0"/>
              <c:showVal val="1"/>
              <c:showCatName val="0"/>
              <c:showSerName val="0"/>
              <c:showPercent val="0"/>
              <c:showBubbleSize val="0"/>
            </c:dLbl>
            <c:dLbl>
              <c:idx val="5"/>
              <c:layout>
                <c:manualLayout>
                  <c:x val="-4.793388143818629E-2"/>
                  <c:y val="4.2102206255061796E-3"/>
                </c:manualLayout>
              </c:layout>
              <c:showLegendKey val="0"/>
              <c:showVal val="1"/>
              <c:showCatName val="0"/>
              <c:showSerName val="0"/>
              <c:showPercent val="0"/>
              <c:showBubbleSize val="0"/>
            </c:dLbl>
            <c:txPr>
              <a:bodyPr/>
              <a:lstStyle/>
              <a:p>
                <a:pPr>
                  <a:defRPr sz="1050" b="1">
                    <a:solidFill>
                      <a:sysClr val="windowText" lastClr="000000"/>
                    </a:solidFill>
                  </a:defRPr>
                </a:pPr>
                <a:endParaRPr lang="en-US"/>
              </a:p>
            </c:txPr>
            <c:showLegendKey val="0"/>
            <c:showVal val="1"/>
            <c:showCatName val="0"/>
            <c:showSerName val="0"/>
            <c:showPercent val="0"/>
            <c:showBubbleSize val="0"/>
            <c:showLeaderLines val="0"/>
          </c:dLbls>
          <c:cat>
            <c:strRef>
              <c:f>'Incident Types'!$B$2:$B$7</c:f>
              <c:strCache>
                <c:ptCount val="6"/>
                <c:pt idx="0">
                  <c:v>Injury to the drug-impaired worker</c:v>
                </c:pt>
                <c:pt idx="1">
                  <c:v>Injury to other worker(s)</c:v>
                </c:pt>
                <c:pt idx="2">
                  <c:v>Injury to customer(s)</c:v>
                </c:pt>
                <c:pt idx="3">
                  <c:v>Property or equipment damage</c:v>
                </c:pt>
                <c:pt idx="4">
                  <c:v>A dangerous or scary situation, but no physical injuries or damages (for example, violent threats)</c:v>
                </c:pt>
                <c:pt idx="5">
                  <c:v>No damages because the worker was too incapacitated to function and was sent/escorted home</c:v>
                </c:pt>
              </c:strCache>
            </c:strRef>
          </c:cat>
          <c:val>
            <c:numRef>
              <c:f>'Incident Types'!$D$2:$D$7</c:f>
              <c:numCache>
                <c:formatCode>General</c:formatCode>
                <c:ptCount val="6"/>
                <c:pt idx="0">
                  <c:v>27</c:v>
                </c:pt>
                <c:pt idx="1">
                  <c:v>6</c:v>
                </c:pt>
                <c:pt idx="2">
                  <c:v>1</c:v>
                </c:pt>
                <c:pt idx="3">
                  <c:v>34</c:v>
                </c:pt>
                <c:pt idx="4">
                  <c:v>31</c:v>
                </c:pt>
                <c:pt idx="5">
                  <c:v>27</c:v>
                </c:pt>
              </c:numCache>
            </c:numRef>
          </c:val>
        </c:ser>
        <c:dLbls>
          <c:showLegendKey val="0"/>
          <c:showVal val="1"/>
          <c:showCatName val="0"/>
          <c:showSerName val="0"/>
          <c:showPercent val="0"/>
          <c:showBubbleSize val="0"/>
        </c:dLbls>
        <c:gapWidth val="150"/>
        <c:shape val="box"/>
        <c:axId val="160074752"/>
        <c:axId val="160126848"/>
        <c:axId val="0"/>
      </c:bar3DChart>
      <c:catAx>
        <c:axId val="160074752"/>
        <c:scaling>
          <c:orientation val="minMax"/>
        </c:scaling>
        <c:delete val="0"/>
        <c:axPos val="l"/>
        <c:majorTickMark val="none"/>
        <c:minorTickMark val="none"/>
        <c:tickLblPos val="nextTo"/>
        <c:txPr>
          <a:bodyPr/>
          <a:lstStyle/>
          <a:p>
            <a:pPr>
              <a:defRPr>
                <a:solidFill>
                  <a:sysClr val="windowText" lastClr="000000"/>
                </a:solidFill>
              </a:defRPr>
            </a:pPr>
            <a:endParaRPr lang="en-US"/>
          </a:p>
        </c:txPr>
        <c:crossAx val="160126848"/>
        <c:crosses val="autoZero"/>
        <c:auto val="1"/>
        <c:lblAlgn val="ctr"/>
        <c:lblOffset val="100"/>
        <c:noMultiLvlLbl val="0"/>
      </c:catAx>
      <c:valAx>
        <c:axId val="160126848"/>
        <c:scaling>
          <c:orientation val="minMax"/>
        </c:scaling>
        <c:delete val="1"/>
        <c:axPos val="b"/>
        <c:numFmt formatCode="General" sourceLinked="1"/>
        <c:majorTickMark val="none"/>
        <c:minorTickMark val="none"/>
        <c:tickLblPos val="nextTo"/>
        <c:crossAx val="16007475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15"/>
      <c:rotY val="20"/>
      <c:rAngAx val="1"/>
    </c:view3D>
    <c:floor>
      <c:thickness val="0"/>
      <c:spPr>
        <a:solidFill>
          <a:schemeClr val="tx1"/>
        </a:solidFill>
      </c:spPr>
    </c:floor>
    <c:sideWall>
      <c:thickness val="0"/>
    </c:sideWall>
    <c:backWall>
      <c:thickness val="0"/>
    </c:backWall>
    <c:plotArea>
      <c:layout>
        <c:manualLayout>
          <c:layoutTarget val="inner"/>
          <c:xMode val="edge"/>
          <c:yMode val="edge"/>
          <c:x val="0.50980659630863034"/>
          <c:y val="2.3964352206013999E-2"/>
          <c:w val="0.46730181455491782"/>
          <c:h val="0.87659373524319217"/>
        </c:manualLayout>
      </c:layout>
      <c:bar3DChart>
        <c:barDir val="bar"/>
        <c:grouping val="clustered"/>
        <c:varyColors val="0"/>
        <c:ser>
          <c:idx val="0"/>
          <c:order val="0"/>
          <c:invertIfNegative val="0"/>
          <c:dLbls>
            <c:dLbl>
              <c:idx val="0"/>
              <c:layout>
                <c:manualLayout>
                  <c:x val="-6.5759634619793936E-2"/>
                  <c:y val="-3.4230403498293331E-3"/>
                </c:manualLayout>
              </c:layout>
              <c:showLegendKey val="0"/>
              <c:showVal val="1"/>
              <c:showCatName val="0"/>
              <c:showSerName val="0"/>
              <c:showPercent val="0"/>
              <c:showBubbleSize val="0"/>
            </c:dLbl>
            <c:dLbl>
              <c:idx val="1"/>
              <c:layout>
                <c:manualLayout>
                  <c:x val="-3.6989794473634166E-2"/>
                  <c:y val="0"/>
                </c:manualLayout>
              </c:layout>
              <c:showLegendKey val="0"/>
              <c:showVal val="1"/>
              <c:showCatName val="0"/>
              <c:showSerName val="0"/>
              <c:showPercent val="0"/>
              <c:showBubbleSize val="0"/>
            </c:dLbl>
            <c:dLbl>
              <c:idx val="2"/>
              <c:layout>
                <c:manualLayout>
                  <c:x val="-5.7539680292319699E-2"/>
                  <c:y val="-3.4230403498293331E-3"/>
                </c:manualLayout>
              </c:layout>
              <c:showLegendKey val="0"/>
              <c:showVal val="1"/>
              <c:showCatName val="0"/>
              <c:showSerName val="0"/>
              <c:showPercent val="0"/>
              <c:showBubbleSize val="0"/>
            </c:dLbl>
            <c:dLbl>
              <c:idx val="3"/>
              <c:layout>
                <c:manualLayout>
                  <c:x val="-6.7814623201662497E-2"/>
                  <c:y val="0"/>
                </c:manualLayout>
              </c:layout>
              <c:showLegendKey val="0"/>
              <c:showVal val="1"/>
              <c:showCatName val="0"/>
              <c:showSerName val="0"/>
              <c:showPercent val="0"/>
              <c:showBubbleSize val="0"/>
            </c:dLbl>
            <c:dLbl>
              <c:idx val="4"/>
              <c:layout>
                <c:manualLayout>
                  <c:x val="-4.3154760219239773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'Report Substance Abuse'!$B$3:$B$7</c:f>
              <c:strCache>
                <c:ptCount val="5"/>
                <c:pt idx="0">
                  <c:v>Yes, because we were able to conduct a drug test under our employee drug testing policy</c:v>
                </c:pt>
                <c:pt idx="1">
                  <c:v>Yes, although we did not drug test the employee under our policy, we had other sources/evidence with which to confirm drug use</c:v>
                </c:pt>
                <c:pt idx="2">
                  <c:v>No, because we don't have a drug testing policy under which we can conduct that type of testing  and there were no other ways to confirm our suspicions</c:v>
                </c:pt>
                <c:pt idx="3">
                  <c:v>No, because our current policy did not allow us to do that kind of testing and we had no other ways to confirm our suspicions</c:v>
                </c:pt>
                <c:pt idx="4">
                  <c:v>No, because we prefer to not report substance abuse to workers comp unless we are sure it was the only cause</c:v>
                </c:pt>
              </c:strCache>
            </c:strRef>
          </c:cat>
          <c:val>
            <c:numRef>
              <c:f>'Report Substance Abuse'!$C$3:$C$7</c:f>
              <c:numCache>
                <c:formatCode>General</c:formatCode>
                <c:ptCount val="5"/>
                <c:pt idx="0">
                  <c:v>23.9</c:v>
                </c:pt>
                <c:pt idx="1">
                  <c:v>4.3</c:v>
                </c:pt>
                <c:pt idx="2">
                  <c:v>26.1</c:v>
                </c:pt>
                <c:pt idx="3">
                  <c:v>37</c:v>
                </c:pt>
                <c:pt idx="4">
                  <c:v>8.6999999999999993</c:v>
                </c:pt>
              </c:numCache>
            </c:numRef>
          </c:val>
        </c:ser>
        <c:dLbls>
          <c:showLegendKey val="0"/>
          <c:showVal val="0"/>
          <c:showCatName val="0"/>
          <c:showSerName val="0"/>
          <c:showPercent val="0"/>
          <c:showBubbleSize val="0"/>
        </c:dLbls>
        <c:gapWidth val="150"/>
        <c:shape val="box"/>
        <c:axId val="186839040"/>
        <c:axId val="186840960"/>
        <c:axId val="0"/>
      </c:bar3DChart>
      <c:catAx>
        <c:axId val="186839040"/>
        <c:scaling>
          <c:orientation val="minMax"/>
        </c:scaling>
        <c:delete val="0"/>
        <c:axPos val="l"/>
        <c:majorTickMark val="none"/>
        <c:minorTickMark val="none"/>
        <c:tickLblPos val="nextTo"/>
        <c:crossAx val="186840960"/>
        <c:crosses val="autoZero"/>
        <c:auto val="1"/>
        <c:lblAlgn val="ctr"/>
        <c:lblOffset val="100"/>
        <c:noMultiLvlLbl val="0"/>
      </c:catAx>
      <c:valAx>
        <c:axId val="186840960"/>
        <c:scaling>
          <c:orientation val="minMax"/>
        </c:scaling>
        <c:delete val="1"/>
        <c:axPos val="b"/>
        <c:majorGridlines>
          <c:spPr>
            <a:ln>
              <a:noFill/>
            </a:ln>
          </c:spPr>
        </c:majorGridlines>
        <c:numFmt formatCode="General" sourceLinked="1"/>
        <c:majorTickMark val="none"/>
        <c:minorTickMark val="none"/>
        <c:tickLblPos val="none"/>
        <c:crossAx val="186839040"/>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pieChart>
        <c:varyColors val="1"/>
        <c:ser>
          <c:idx val="0"/>
          <c:order val="0"/>
          <c:explosion val="25"/>
          <c:dLbls>
            <c:dLbl>
              <c:idx val="0"/>
              <c:layout>
                <c:manualLayout>
                  <c:x val="-0.11436800087489064"/>
                  <c:y val="-0.1762817147856518"/>
                </c:manualLayout>
              </c:layout>
              <c:spPr/>
              <c:txPr>
                <a:bodyPr/>
                <a:lstStyle/>
                <a:p>
                  <a:pPr>
                    <a:defRPr sz="1050" b="1">
                      <a:solidFill>
                        <a:schemeClr val="bg1"/>
                      </a:solidFill>
                    </a:defRPr>
                  </a:pPr>
                  <a:endParaRPr lang="en-US"/>
                </a:p>
              </c:txPr>
              <c:showLegendKey val="0"/>
              <c:showVal val="0"/>
              <c:showCatName val="1"/>
              <c:showSerName val="0"/>
              <c:showPercent val="1"/>
              <c:showBubbleSize val="0"/>
            </c:dLbl>
            <c:dLbl>
              <c:idx val="1"/>
              <c:layout>
                <c:manualLayout>
                  <c:x val="0.11783847331583552"/>
                  <c:y val="0.11125911344415282"/>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'Testing Mix'!$B$2:$B$3</c:f>
              <c:strCache>
                <c:ptCount val="2"/>
                <c:pt idx="0">
                  <c:v>Yes</c:v>
                </c:pt>
                <c:pt idx="1">
                  <c:v>No</c:v>
                </c:pt>
              </c:strCache>
            </c:strRef>
          </c:cat>
          <c:val>
            <c:numRef>
              <c:f>'Testing Mix'!$C$2:$C$3</c:f>
              <c:numCache>
                <c:formatCode>General</c:formatCode>
                <c:ptCount val="2"/>
                <c:pt idx="0">
                  <c:v>73.2</c:v>
                </c:pt>
                <c:pt idx="1">
                  <c:v>26.8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1000" b="0"/>
            </a:pPr>
            <a:r>
              <a:rPr lang="en-US" sz="1000" b="0"/>
              <a:t>(By Percentage)</a:t>
            </a:r>
          </a:p>
        </c:rich>
      </c:tx>
      <c:layout>
        <c:manualLayout>
          <c:xMode val="edge"/>
          <c:yMode val="edge"/>
          <c:x val="0.44694049493573318"/>
          <c:y val="0.87541480560543972"/>
        </c:manualLayout>
      </c:layout>
      <c:overlay val="0"/>
    </c:title>
    <c:autoTitleDeleted val="0"/>
    <c:view3D>
      <c:rotX val="15"/>
      <c:rotY val="20"/>
      <c:depthPercent val="100"/>
      <c:rAngAx val="1"/>
    </c:view3D>
    <c:floor>
      <c:thickness val="0"/>
      <c:spPr>
        <a:solidFill>
          <a:schemeClr val="tx1"/>
        </a:solidFill>
      </c:spPr>
    </c:floor>
    <c:sideWall>
      <c:thickness val="0"/>
    </c:sideWall>
    <c:backWall>
      <c:thickness val="0"/>
    </c:backWall>
    <c:plotArea>
      <c:layout>
        <c:manualLayout>
          <c:layoutTarget val="inner"/>
          <c:xMode val="edge"/>
          <c:yMode val="edge"/>
          <c:x val="0.41893954696564389"/>
          <c:y val="7.5562155607742015E-2"/>
          <c:w val="0.55208521915203335"/>
          <c:h val="0.69626424048508284"/>
        </c:manualLayout>
      </c:layout>
      <c:bar3DChart>
        <c:barDir val="bar"/>
        <c:grouping val="clustered"/>
        <c:varyColors val="0"/>
        <c:ser>
          <c:idx val="0"/>
          <c:order val="0"/>
          <c:invertIfNegative val="0"/>
          <c:dLbls>
            <c:dLbl>
              <c:idx val="0"/>
              <c:layout>
                <c:manualLayout>
                  <c:x val="-7.2079757223166285E-2"/>
                  <c:y val="-2.2509450319991426E-4"/>
                </c:manualLayout>
              </c:layout>
              <c:showLegendKey val="0"/>
              <c:showVal val="1"/>
              <c:showCatName val="0"/>
              <c:showSerName val="0"/>
              <c:showPercent val="0"/>
              <c:showBubbleSize val="0"/>
            </c:dLbl>
            <c:dLbl>
              <c:idx val="1"/>
              <c:layout>
                <c:manualLayout>
                  <c:x val="-8.1684572251690138E-2"/>
                  <c:y val="-4.0278855982155311E-3"/>
                </c:manualLayout>
              </c:layout>
              <c:showLegendKey val="0"/>
              <c:showVal val="1"/>
              <c:showCatName val="0"/>
              <c:showSerName val="0"/>
              <c:showPercent val="0"/>
              <c:showBubbleSize val="0"/>
            </c:dLbl>
            <c:dLbl>
              <c:idx val="2"/>
              <c:layout>
                <c:manualLayout>
                  <c:x val="-6.9700659126558123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'Testing Mix'!$B$6:$B$8</c:f>
              <c:strCache>
                <c:ptCount val="3"/>
                <c:pt idx="0">
                  <c:v>Applicant testing</c:v>
                </c:pt>
                <c:pt idx="1">
                  <c:v>Employee  random or arbitrary testing</c:v>
                </c:pt>
                <c:pt idx="2">
                  <c:v>Employee probable cause testing</c:v>
                </c:pt>
              </c:strCache>
            </c:strRef>
          </c:cat>
          <c:val>
            <c:numRef>
              <c:f>'Testing Mix'!$C$6:$C$8</c:f>
              <c:numCache>
                <c:formatCode>General</c:formatCode>
                <c:ptCount val="3"/>
                <c:pt idx="0">
                  <c:v>95</c:v>
                </c:pt>
                <c:pt idx="1">
                  <c:v>34.4</c:v>
                </c:pt>
                <c:pt idx="2">
                  <c:v>47.8</c:v>
                </c:pt>
              </c:numCache>
            </c:numRef>
          </c:val>
        </c:ser>
        <c:dLbls>
          <c:showLegendKey val="0"/>
          <c:showVal val="1"/>
          <c:showCatName val="0"/>
          <c:showSerName val="0"/>
          <c:showPercent val="0"/>
          <c:showBubbleSize val="0"/>
        </c:dLbls>
        <c:gapWidth val="95"/>
        <c:gapDepth val="95"/>
        <c:shape val="box"/>
        <c:axId val="187511168"/>
        <c:axId val="187514240"/>
        <c:axId val="0"/>
      </c:bar3DChart>
      <c:catAx>
        <c:axId val="187511168"/>
        <c:scaling>
          <c:orientation val="minMax"/>
        </c:scaling>
        <c:delete val="0"/>
        <c:axPos val="l"/>
        <c:majorTickMark val="none"/>
        <c:minorTickMark val="none"/>
        <c:tickLblPos val="nextTo"/>
        <c:crossAx val="187514240"/>
        <c:crosses val="autoZero"/>
        <c:auto val="1"/>
        <c:lblAlgn val="ctr"/>
        <c:lblOffset val="100"/>
        <c:noMultiLvlLbl val="0"/>
      </c:catAx>
      <c:valAx>
        <c:axId val="187514240"/>
        <c:scaling>
          <c:orientation val="minMax"/>
        </c:scaling>
        <c:delete val="1"/>
        <c:axPos val="b"/>
        <c:numFmt formatCode="General" sourceLinked="1"/>
        <c:majorTickMark val="out"/>
        <c:minorTickMark val="none"/>
        <c:tickLblPos val="nextTo"/>
        <c:crossAx val="18751116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3465</TotalTime>
  <Pages>39</Pages>
  <Words>5001</Words>
  <Characters>27781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Maine’s Annual Report on</vt:lpstr>
    </vt:vector>
  </TitlesOfParts>
  <Company>State of Maine, DAFS</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Maine Employer Drug Testing Survey</dc:title>
  <dc:creator>State of Maine</dc:creator>
  <cp:lastModifiedBy>Dawson, Mark</cp:lastModifiedBy>
  <cp:revision>42</cp:revision>
  <cp:lastPrinted>2014-12-19T18:29:00Z</cp:lastPrinted>
  <dcterms:created xsi:type="dcterms:W3CDTF">2014-09-26T15:43:00Z</dcterms:created>
  <dcterms:modified xsi:type="dcterms:W3CDTF">2014-12-19T19:16:00Z</dcterms:modified>
</cp:coreProperties>
</file>