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2554D896" w:rsidR="00274DDC" w:rsidRPr="00863BBD" w:rsidRDefault="001A7211" w:rsidP="00274DDC">
      <w:r>
        <w:t>August</w:t>
      </w:r>
      <w:r w:rsidR="00274DDC">
        <w:t xml:space="preserve"> </w:t>
      </w:r>
      <w:r w:rsidR="00C8364E">
        <w:t>2</w:t>
      </w:r>
      <w:r w:rsidR="009832D3">
        <w:t>7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009D6887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1A7211">
        <w:rPr>
          <w:b/>
        </w:rPr>
        <w:t>August</w:t>
      </w:r>
      <w:r w:rsidR="006A01D7">
        <w:rPr>
          <w:b/>
        </w:rPr>
        <w:t xml:space="preserve"> </w:t>
      </w:r>
      <w:r w:rsidR="009832D3">
        <w:rPr>
          <w:b/>
        </w:rPr>
        <w:t>24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7422C406" w:rsidR="00C24EE5" w:rsidRPr="00616684" w:rsidRDefault="002A746C" w:rsidP="00820A1D">
            <w:pPr>
              <w:jc w:val="center"/>
            </w:pPr>
            <w:r>
              <w:t>7</w:t>
            </w:r>
          </w:p>
        </w:tc>
        <w:tc>
          <w:tcPr>
            <w:tcW w:w="792" w:type="pct"/>
          </w:tcPr>
          <w:p w14:paraId="7FA43A4D" w14:textId="5FFE650E" w:rsidR="00C24EE5" w:rsidRPr="00616684" w:rsidRDefault="001A7211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2BC4E14B" w:rsidR="00C24EE5" w:rsidRPr="00616684" w:rsidRDefault="002A746C" w:rsidP="00820A1D">
            <w:pPr>
              <w:jc w:val="center"/>
            </w:pPr>
            <w:r>
              <w:t>70</w:t>
            </w:r>
          </w:p>
        </w:tc>
        <w:tc>
          <w:tcPr>
            <w:tcW w:w="792" w:type="pct"/>
          </w:tcPr>
          <w:p w14:paraId="18A24E60" w14:textId="4A565D89" w:rsidR="00C24EE5" w:rsidRPr="00616684" w:rsidRDefault="004E22E1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>esting may be performed year round</w:t>
      </w:r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379C133D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485869E3" w:rsidR="00C8364E" w:rsidRPr="00616684" w:rsidRDefault="00C8364E" w:rsidP="00820A1D">
            <w:pPr>
              <w:jc w:val="center"/>
            </w:pPr>
            <w:r>
              <w:t>2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4614B468" w:rsidR="00274DDC" w:rsidRPr="00616684" w:rsidRDefault="009832D3" w:rsidP="00820A1D">
            <w:pPr>
              <w:jc w:val="center"/>
            </w:pPr>
            <w:r>
              <w:t>2</w:t>
            </w:r>
          </w:p>
        </w:tc>
        <w:tc>
          <w:tcPr>
            <w:tcW w:w="1250" w:type="pct"/>
          </w:tcPr>
          <w:p w14:paraId="4A99C318" w14:textId="493108B6" w:rsidR="00274DDC" w:rsidRPr="00616684" w:rsidRDefault="00674080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11D13C24" w:rsidR="00274DDC" w:rsidRPr="00616684" w:rsidRDefault="00674080" w:rsidP="00820A1D">
            <w:pPr>
              <w:jc w:val="center"/>
            </w:pPr>
            <w:r>
              <w:t>2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51A908CB" w:rsidR="00274DDC" w:rsidRPr="00616684" w:rsidRDefault="00674080" w:rsidP="00820A1D">
            <w:pPr>
              <w:jc w:val="center"/>
            </w:pPr>
            <w:r>
              <w:t>41</w:t>
            </w:r>
          </w:p>
        </w:tc>
        <w:tc>
          <w:tcPr>
            <w:tcW w:w="1250" w:type="pct"/>
          </w:tcPr>
          <w:p w14:paraId="043C6F67" w14:textId="2D97FBCF" w:rsidR="00274DDC" w:rsidRPr="00616684" w:rsidRDefault="00C8364E" w:rsidP="00820A1D">
            <w:pPr>
              <w:jc w:val="center"/>
            </w:pPr>
            <w:r>
              <w:t>15</w:t>
            </w:r>
          </w:p>
        </w:tc>
        <w:tc>
          <w:tcPr>
            <w:tcW w:w="1250" w:type="pct"/>
          </w:tcPr>
          <w:p w14:paraId="1D8A73E0" w14:textId="5D5CD04A" w:rsidR="00274DDC" w:rsidRPr="00616684" w:rsidRDefault="00674080" w:rsidP="00820A1D">
            <w:pPr>
              <w:jc w:val="center"/>
            </w:pPr>
            <w:r>
              <w:t>3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2DAE5651" w:rsidR="00831631" w:rsidRPr="00616684" w:rsidRDefault="00674080" w:rsidP="00820A1D">
            <w:pPr>
              <w:jc w:val="center"/>
            </w:pPr>
            <w:r>
              <w:t>0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59F14CFA" w:rsidR="00831631" w:rsidRPr="00616684" w:rsidRDefault="00AB3ED4" w:rsidP="00820A1D">
            <w:pPr>
              <w:jc w:val="center"/>
            </w:pPr>
            <w:r>
              <w:t>804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>OROV = Oropouche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>Aedes abserratus/punctor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</w:t>
            </w:r>
            <w:r w:rsidRPr="00D363B0">
              <w:rPr>
                <w:color w:val="000000"/>
              </w:rPr>
              <w:t>19</w:t>
            </w:r>
            <w:r w:rsidRPr="00D363B0">
              <w:rPr>
                <w:color w:val="000000"/>
              </w:rPr>
              <w:t>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05D095B2" w14:textId="77777777" w:rsidR="001A7211" w:rsidRDefault="001A7211" w:rsidP="0026191E">
      <w:pPr>
        <w:pBdr>
          <w:bottom w:val="single" w:sz="6" w:space="1" w:color="auto"/>
        </w:pBdr>
        <w:rPr>
          <w:b/>
        </w:rPr>
      </w:pPr>
    </w:p>
    <w:p w14:paraId="1C73303E" w14:textId="77777777" w:rsidR="00C8364E" w:rsidRDefault="00C8364E" w:rsidP="0026191E">
      <w:pPr>
        <w:pBdr>
          <w:bottom w:val="single" w:sz="6" w:space="1" w:color="auto"/>
        </w:pBdr>
        <w:rPr>
          <w:b/>
        </w:rPr>
      </w:pPr>
    </w:p>
    <w:p w14:paraId="7C76419A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5729FA11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D6D5653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3DD78341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333F8E99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612C2C5D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A0B7ADC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4657AAA3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4A54A5EE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3942849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19C7BDB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712593B5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D2FC4B8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</w:tcPr>
          <w:p w14:paraId="05372847" w14:textId="3BD51D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 positive*</w:t>
            </w:r>
          </w:p>
        </w:tc>
        <w:tc>
          <w:tcPr>
            <w:tcW w:w="1363" w:type="pct"/>
            <w:shd w:val="clear" w:color="auto" w:fill="BDD6EE" w:themeFill="accent5" w:themeFillTint="66"/>
          </w:tcPr>
          <w:p w14:paraId="51F00486" w14:textId="01A3D536" w:rsidR="009D12B2" w:rsidRPr="0026191E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79D44BB5" w:rsidR="009D12B2" w:rsidRPr="00615C0B" w:rsidRDefault="00674080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58FB">
              <w:rPr>
                <w:color w:val="000000"/>
              </w:rPr>
              <w:t>5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r w:rsidR="009D12B2">
        <w:rPr>
          <w:bCs/>
          <w:sz w:val="20"/>
          <w:szCs w:val="20"/>
        </w:rPr>
        <w:t xml:space="preserve">Oropouche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17B9DE68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78DF6A3D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6139D78B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154D6ADF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1D11EBC3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10A945A4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>, 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>
              <w:rPr>
                <w:color w:val="000000"/>
              </w:rPr>
              <w:t xml:space="preserve">, </w:t>
            </w:r>
            <w:r w:rsidR="00C92219">
              <w:rPr>
                <w:color w:val="000000"/>
              </w:rPr>
              <w:t>French Guiana</w:t>
            </w:r>
            <w:r w:rsidR="00615C0B"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>Laos, Mali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Mauritius,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Samoa, Singapore, Sri Lanka, Sudan, </w:t>
            </w:r>
            <w:r w:rsidR="00C92219">
              <w:rPr>
                <w:color w:val="000000"/>
              </w:rPr>
              <w:t>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6202A"/>
    <w:rsid w:val="00164CB7"/>
    <w:rsid w:val="00180E7E"/>
    <w:rsid w:val="00186030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273D3"/>
    <w:rsid w:val="00331BB9"/>
    <w:rsid w:val="00331EA2"/>
    <w:rsid w:val="0033799F"/>
    <w:rsid w:val="00337C6E"/>
    <w:rsid w:val="00350705"/>
    <w:rsid w:val="003568B7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80762"/>
    <w:rsid w:val="004849F9"/>
    <w:rsid w:val="004872D0"/>
    <w:rsid w:val="00495ED1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406A1"/>
    <w:rsid w:val="0054737F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E05E1"/>
    <w:rsid w:val="005F435B"/>
    <w:rsid w:val="00604E7F"/>
    <w:rsid w:val="00615C0B"/>
    <w:rsid w:val="00663441"/>
    <w:rsid w:val="006660C1"/>
    <w:rsid w:val="00674080"/>
    <w:rsid w:val="00684786"/>
    <w:rsid w:val="006A01D7"/>
    <w:rsid w:val="006A1DB7"/>
    <w:rsid w:val="006D0FD4"/>
    <w:rsid w:val="006D7594"/>
    <w:rsid w:val="006E21DA"/>
    <w:rsid w:val="006E2A67"/>
    <w:rsid w:val="006E41F0"/>
    <w:rsid w:val="006F4B8F"/>
    <w:rsid w:val="006F5D23"/>
    <w:rsid w:val="00704598"/>
    <w:rsid w:val="00705B94"/>
    <w:rsid w:val="00742EBC"/>
    <w:rsid w:val="0075107A"/>
    <w:rsid w:val="00766D20"/>
    <w:rsid w:val="00783F28"/>
    <w:rsid w:val="007C10A9"/>
    <w:rsid w:val="007C72AE"/>
    <w:rsid w:val="007D7B12"/>
    <w:rsid w:val="007E59E2"/>
    <w:rsid w:val="00831631"/>
    <w:rsid w:val="00834ED2"/>
    <w:rsid w:val="00842689"/>
    <w:rsid w:val="008435AC"/>
    <w:rsid w:val="00847CE3"/>
    <w:rsid w:val="00853EDB"/>
    <w:rsid w:val="00870785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B017C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792A"/>
    <w:rsid w:val="00D94C88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626"/>
    <w:rsid w:val="00EA3A0B"/>
    <w:rsid w:val="00EB30DA"/>
    <w:rsid w:val="00ED67C8"/>
    <w:rsid w:val="00EE11CA"/>
    <w:rsid w:val="00EE4885"/>
    <w:rsid w:val="00F01EED"/>
    <w:rsid w:val="00F058FB"/>
    <w:rsid w:val="00F108C2"/>
    <w:rsid w:val="00F163A8"/>
    <w:rsid w:val="00F24790"/>
    <w:rsid w:val="00F32E54"/>
    <w:rsid w:val="00F41273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6</cp:revision>
  <cp:lastPrinted>2024-08-27T18:27:00Z</cp:lastPrinted>
  <dcterms:created xsi:type="dcterms:W3CDTF">2024-08-27T12:56:00Z</dcterms:created>
  <dcterms:modified xsi:type="dcterms:W3CDTF">2024-08-27T18:28:00Z</dcterms:modified>
</cp:coreProperties>
</file>