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1FBD89AE" w:rsidR="00274DDC" w:rsidRPr="00863BBD" w:rsidRDefault="001A7211" w:rsidP="00274DDC">
      <w:r>
        <w:t>August</w:t>
      </w:r>
      <w:r w:rsidR="00274DDC">
        <w:t xml:space="preserve"> </w:t>
      </w:r>
      <w:r w:rsidR="00C8364E">
        <w:t>20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4CD2B6DF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1A7211">
        <w:rPr>
          <w:b/>
        </w:rPr>
        <w:t>August</w:t>
      </w:r>
      <w:r w:rsidR="006A01D7">
        <w:rPr>
          <w:b/>
        </w:rPr>
        <w:t xml:space="preserve"> </w:t>
      </w:r>
      <w:r w:rsidR="004541FA">
        <w:rPr>
          <w:b/>
        </w:rPr>
        <w:t>1</w:t>
      </w:r>
      <w:r w:rsidR="00C8364E">
        <w:rPr>
          <w:b/>
        </w:rPr>
        <w:t>7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4F1DFEF1" w:rsidR="00C24EE5" w:rsidRPr="00616684" w:rsidRDefault="00AB3ED4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7FA43A4D" w14:textId="5FFE650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2B5F87E6" w:rsidR="00C24EE5" w:rsidRPr="00616684" w:rsidRDefault="00AB3ED4" w:rsidP="00820A1D">
            <w:pPr>
              <w:jc w:val="center"/>
            </w:pPr>
            <w:r>
              <w:t>63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379C133D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485869E3" w:rsidR="00C8364E" w:rsidRPr="00616684" w:rsidRDefault="00C8364E" w:rsidP="00820A1D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2872B282" w:rsidR="00274DDC" w:rsidRPr="00616684" w:rsidRDefault="00C8364E" w:rsidP="00820A1D">
            <w:pPr>
              <w:jc w:val="center"/>
            </w:pPr>
            <w:r>
              <w:t>22</w:t>
            </w:r>
          </w:p>
        </w:tc>
        <w:tc>
          <w:tcPr>
            <w:tcW w:w="1250" w:type="pct"/>
          </w:tcPr>
          <w:p w14:paraId="4A99C318" w14:textId="663DE135" w:rsidR="00274DDC" w:rsidRPr="00616684" w:rsidRDefault="00C8364E" w:rsidP="00820A1D">
            <w:pPr>
              <w:jc w:val="center"/>
            </w:pPr>
            <w:r>
              <w:t>9</w:t>
            </w:r>
          </w:p>
        </w:tc>
        <w:tc>
          <w:tcPr>
            <w:tcW w:w="1250" w:type="pct"/>
          </w:tcPr>
          <w:p w14:paraId="07DE3CF9" w14:textId="60BFC0DB" w:rsidR="00274DDC" w:rsidRPr="00616684" w:rsidRDefault="00C8364E" w:rsidP="00820A1D">
            <w:pPr>
              <w:jc w:val="center"/>
            </w:pPr>
            <w:r>
              <w:t>1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7B2283F" w:rsidR="00274DDC" w:rsidRPr="00616684" w:rsidRDefault="00C8364E" w:rsidP="00820A1D">
            <w:pPr>
              <w:jc w:val="center"/>
            </w:pPr>
            <w:r>
              <w:t>39</w:t>
            </w:r>
          </w:p>
        </w:tc>
        <w:tc>
          <w:tcPr>
            <w:tcW w:w="1250" w:type="pct"/>
          </w:tcPr>
          <w:p w14:paraId="043C6F67" w14:textId="2D97FBCF" w:rsidR="00274DDC" w:rsidRPr="00616684" w:rsidRDefault="00C8364E" w:rsidP="00820A1D">
            <w:pPr>
              <w:jc w:val="center"/>
            </w:pPr>
            <w:r>
              <w:t>15</w:t>
            </w:r>
          </w:p>
        </w:tc>
        <w:tc>
          <w:tcPr>
            <w:tcW w:w="1250" w:type="pct"/>
          </w:tcPr>
          <w:p w14:paraId="1D8A73E0" w14:textId="42C6E6CA" w:rsidR="00274DDC" w:rsidRPr="00616684" w:rsidRDefault="00C8364E" w:rsidP="00820A1D">
            <w:pPr>
              <w:jc w:val="center"/>
            </w:pPr>
            <w:r>
              <w:t>1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57714B45" w:rsidR="00831631" w:rsidRPr="00616684" w:rsidRDefault="00AB3ED4" w:rsidP="00820A1D">
            <w:pPr>
              <w:jc w:val="center"/>
            </w:pPr>
            <w:r>
              <w:t>68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59F14CFA" w:rsidR="00831631" w:rsidRPr="00616684" w:rsidRDefault="00AB3ED4" w:rsidP="00820A1D">
            <w:pPr>
              <w:jc w:val="center"/>
            </w:pPr>
            <w:r>
              <w:t>804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>OROV = Oropouche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C73303E" w14:textId="77777777" w:rsidR="00C8364E" w:rsidRDefault="00C8364E" w:rsidP="0026191E">
      <w:pPr>
        <w:pBdr>
          <w:bottom w:val="single" w:sz="6" w:space="1" w:color="auto"/>
        </w:pBdr>
        <w:rPr>
          <w:b/>
        </w:rPr>
      </w:pPr>
    </w:p>
    <w:p w14:paraId="7C76419A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5729FA1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6D565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DD7834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33F8E9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612C2C5D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A0B7ADC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657AAA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4A54A5EE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394284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19C7BDB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712593B5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2FC4B8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05372847" w14:textId="3BD51D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51F00486" w14:textId="01A3D536" w:rsidR="009D12B2" w:rsidRPr="0026191E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1D532C63" w:rsidR="009D12B2" w:rsidRPr="00615C0B" w:rsidRDefault="009D12B2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r w:rsidR="009D12B2">
        <w:rPr>
          <w:bCs/>
          <w:sz w:val="20"/>
          <w:szCs w:val="20"/>
        </w:rPr>
        <w:t xml:space="preserve">Oropouche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6139D78B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154D6ADF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Oropouche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1D11EBC3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0A945A4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>
              <w:rPr>
                <w:color w:val="000000"/>
              </w:rPr>
              <w:t xml:space="preserve">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>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4737F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E05E1"/>
    <w:rsid w:val="005F435B"/>
    <w:rsid w:val="00604E7F"/>
    <w:rsid w:val="00615C0B"/>
    <w:rsid w:val="00663441"/>
    <w:rsid w:val="006660C1"/>
    <w:rsid w:val="00684786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66D20"/>
    <w:rsid w:val="00783F28"/>
    <w:rsid w:val="007C10A9"/>
    <w:rsid w:val="007C72AE"/>
    <w:rsid w:val="007D7B12"/>
    <w:rsid w:val="007E59E2"/>
    <w:rsid w:val="00831631"/>
    <w:rsid w:val="00834ED2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90CF1"/>
    <w:rsid w:val="009A07A1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A3F4B"/>
    <w:rsid w:val="00AB3ED4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108C2"/>
    <w:rsid w:val="00F163A8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2024-07-30T18:16:00Z</cp:lastPrinted>
  <dcterms:created xsi:type="dcterms:W3CDTF">2024-08-18T16:55:00Z</dcterms:created>
  <dcterms:modified xsi:type="dcterms:W3CDTF">2024-08-18T18:22:00Z</dcterms:modified>
</cp:coreProperties>
</file>