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3E22" w14:textId="631E71DA" w:rsidR="00BE7118" w:rsidRDefault="00B12CCC" w:rsidP="00B12CCC">
      <w:pPr>
        <w:rPr>
          <w:b/>
          <w:sz w:val="28"/>
          <w:szCs w:val="28"/>
        </w:rPr>
      </w:pPr>
      <w:r>
        <w:rPr>
          <w:b/>
          <w:sz w:val="28"/>
          <w:szCs w:val="28"/>
        </w:rPr>
        <w:t xml:space="preserve">                                                 </w:t>
      </w:r>
      <w:r w:rsidR="00F1285A">
        <w:rPr>
          <w:b/>
          <w:sz w:val="28"/>
          <w:szCs w:val="28"/>
        </w:rPr>
        <w:t>Tetanus</w:t>
      </w:r>
    </w:p>
    <w:p w14:paraId="78D2E5DB" w14:textId="77777777" w:rsidR="006400AD" w:rsidRPr="00C92B4F" w:rsidRDefault="006400AD" w:rsidP="00C92B4F">
      <w:pPr>
        <w:jc w:val="center"/>
        <w:rPr>
          <w:b/>
          <w:sz w:val="28"/>
          <w:szCs w:val="28"/>
        </w:rPr>
      </w:pPr>
    </w:p>
    <w:p w14:paraId="747E44C9" w14:textId="77777777" w:rsidR="00BE7118" w:rsidRDefault="00BE7118">
      <w:pPr>
        <w:rPr>
          <w:b/>
          <w:szCs w:val="24"/>
        </w:rPr>
      </w:pPr>
      <w:r w:rsidRPr="006E0E3D">
        <w:rPr>
          <w:b/>
          <w:szCs w:val="24"/>
        </w:rPr>
        <w:t>Definition:</w:t>
      </w:r>
    </w:p>
    <w:p w14:paraId="2B21DA31" w14:textId="77777777" w:rsidR="002205BD" w:rsidRPr="00893E5C" w:rsidRDefault="005D4373">
      <w:pPr>
        <w:rPr>
          <w:szCs w:val="24"/>
        </w:rPr>
      </w:pPr>
      <w:r>
        <w:rPr>
          <w:szCs w:val="24"/>
        </w:rPr>
        <w:t xml:space="preserve">Tetanus (also known as lockjaw) is a disease caused by </w:t>
      </w:r>
      <w:r>
        <w:rPr>
          <w:i/>
          <w:szCs w:val="24"/>
        </w:rPr>
        <w:t xml:space="preserve">Clostridium </w:t>
      </w:r>
      <w:r w:rsidRPr="005D4373">
        <w:rPr>
          <w:i/>
          <w:szCs w:val="24"/>
        </w:rPr>
        <w:t>tetani</w:t>
      </w:r>
      <w:r>
        <w:rPr>
          <w:i/>
          <w:szCs w:val="24"/>
        </w:rPr>
        <w:t xml:space="preserve"> </w:t>
      </w:r>
      <w:r>
        <w:rPr>
          <w:szCs w:val="24"/>
        </w:rPr>
        <w:t xml:space="preserve">bacteria </w:t>
      </w:r>
      <w:r w:rsidR="00C74E93">
        <w:t>that</w:t>
      </w:r>
      <w:r>
        <w:t xml:space="preserve"> is characterized by painful muscular contractions. </w:t>
      </w:r>
      <w:r>
        <w:rPr>
          <w:i/>
        </w:rPr>
        <w:t>Clostridium tetani</w:t>
      </w:r>
      <w:r>
        <w:t xml:space="preserve"> lives in the environment</w:t>
      </w:r>
      <w:r>
        <w:rPr>
          <w:szCs w:val="24"/>
        </w:rPr>
        <w:t xml:space="preserve">, including soil, dust, and manure. Infection is </w:t>
      </w:r>
      <w:r w:rsidR="00C74E93">
        <w:rPr>
          <w:szCs w:val="24"/>
        </w:rPr>
        <w:t xml:space="preserve">usually </w:t>
      </w:r>
      <w:r>
        <w:rPr>
          <w:szCs w:val="24"/>
        </w:rPr>
        <w:t>due to a break in the skin getting contaminated.</w:t>
      </w:r>
    </w:p>
    <w:p w14:paraId="4CBC575A" w14:textId="77777777" w:rsidR="00BE7118" w:rsidRPr="006E0E3D" w:rsidRDefault="00BE7118">
      <w:pPr>
        <w:rPr>
          <w:i/>
          <w:szCs w:val="24"/>
        </w:rPr>
      </w:pPr>
    </w:p>
    <w:p w14:paraId="706FF175" w14:textId="77777777" w:rsidR="00BE7118" w:rsidRPr="006E0E3D" w:rsidRDefault="00BE7118">
      <w:pPr>
        <w:rPr>
          <w:b/>
          <w:szCs w:val="24"/>
        </w:rPr>
      </w:pPr>
      <w:r w:rsidRPr="006E0E3D">
        <w:rPr>
          <w:b/>
          <w:szCs w:val="24"/>
        </w:rPr>
        <w:t>Signs and symptoms:</w:t>
      </w:r>
    </w:p>
    <w:p w14:paraId="118F0693" w14:textId="77777777" w:rsidR="00BE7118" w:rsidRDefault="004F6B88">
      <w:pPr>
        <w:rPr>
          <w:szCs w:val="24"/>
        </w:rPr>
      </w:pPr>
      <w:r>
        <w:rPr>
          <w:szCs w:val="24"/>
        </w:rPr>
        <w:t>The common initial symptom is spasms of the jaw muscles (lockjaw)</w:t>
      </w:r>
      <w:r w:rsidR="00893E5C">
        <w:rPr>
          <w:szCs w:val="24"/>
        </w:rPr>
        <w:t>.</w:t>
      </w:r>
      <w:r>
        <w:rPr>
          <w:szCs w:val="24"/>
        </w:rPr>
        <w:t xml:space="preserve"> Other symptoms include headache, jaw cramping, sudden involuntary muscle spasms (often in the stomach), painful muscle stiffness throughout the body, difficulty swallowing, jerking or seizures, fever and sweating, high blood pressure, and fast heart rate.</w:t>
      </w:r>
    </w:p>
    <w:p w14:paraId="36FBECA0" w14:textId="77777777" w:rsidR="00893E5C" w:rsidRPr="006E0E3D" w:rsidRDefault="00893E5C">
      <w:pPr>
        <w:rPr>
          <w:szCs w:val="24"/>
        </w:rPr>
      </w:pPr>
    </w:p>
    <w:p w14:paraId="79B18AF1" w14:textId="77777777" w:rsidR="00BE7118" w:rsidRPr="006E0E3D" w:rsidRDefault="00BE7118">
      <w:pPr>
        <w:rPr>
          <w:b/>
          <w:szCs w:val="24"/>
        </w:rPr>
      </w:pPr>
      <w:r w:rsidRPr="006E0E3D">
        <w:rPr>
          <w:b/>
          <w:szCs w:val="24"/>
        </w:rPr>
        <w:t>Transmission:</w:t>
      </w:r>
    </w:p>
    <w:p w14:paraId="2B2C3112" w14:textId="77777777" w:rsidR="00BE7118" w:rsidRDefault="009D5111">
      <w:pPr>
        <w:rPr>
          <w:szCs w:val="24"/>
        </w:rPr>
      </w:pPr>
      <w:r>
        <w:rPr>
          <w:szCs w:val="24"/>
        </w:rPr>
        <w:t xml:space="preserve">Tetanus is usually transmitted through infected wounds. Some breaks in skin are more likely to get infected, including wounds contaminated with dirt, feces, or saliva; puncture wounds like those from a nail, and burns. Tetanus can also occur in newborns if the mother is unvaccinated and the umbilical cord is cut with an unsterile instrument. </w:t>
      </w:r>
    </w:p>
    <w:p w14:paraId="59633A35" w14:textId="77777777" w:rsidR="00853D0C" w:rsidRPr="006E0E3D" w:rsidRDefault="00853D0C">
      <w:pPr>
        <w:rPr>
          <w:szCs w:val="24"/>
        </w:rPr>
      </w:pPr>
    </w:p>
    <w:p w14:paraId="4EBCE5B6" w14:textId="77777777" w:rsidR="00853D0C" w:rsidRDefault="00B20AB2" w:rsidP="00BE7118">
      <w:pPr>
        <w:rPr>
          <w:b/>
          <w:szCs w:val="24"/>
        </w:rPr>
      </w:pPr>
      <w:r w:rsidRPr="006E0E3D">
        <w:rPr>
          <w:b/>
          <w:szCs w:val="24"/>
        </w:rPr>
        <w:t>Diagnosis:</w:t>
      </w:r>
    </w:p>
    <w:p w14:paraId="3FC54485" w14:textId="77777777" w:rsidR="00EF2C7A" w:rsidRPr="00EF2C7A" w:rsidRDefault="00EF2C7A" w:rsidP="00EF2C7A">
      <w:pPr>
        <w:rPr>
          <w:iCs/>
          <w:szCs w:val="24"/>
        </w:rPr>
      </w:pPr>
      <w:r w:rsidRPr="00EF2C7A">
        <w:rPr>
          <w:iCs/>
          <w:szCs w:val="24"/>
        </w:rPr>
        <w:t xml:space="preserve">There are no laboratory tests to diagnose tetanus. </w:t>
      </w:r>
      <w:r>
        <w:rPr>
          <w:iCs/>
          <w:szCs w:val="24"/>
        </w:rPr>
        <w:t>A tetanus</w:t>
      </w:r>
      <w:r w:rsidRPr="00EF2C7A">
        <w:rPr>
          <w:iCs/>
          <w:szCs w:val="24"/>
        </w:rPr>
        <w:t xml:space="preserve"> diagnosis is based entirely on clinical symptoms.</w:t>
      </w:r>
    </w:p>
    <w:p w14:paraId="0DE26E26" w14:textId="77777777" w:rsidR="00B20AB2" w:rsidRPr="00707F27" w:rsidRDefault="00B20AB2" w:rsidP="00BE7118">
      <w:pPr>
        <w:rPr>
          <w:b/>
          <w:szCs w:val="24"/>
        </w:rPr>
      </w:pPr>
    </w:p>
    <w:p w14:paraId="42A85463" w14:textId="77777777" w:rsidR="00BE7118" w:rsidRPr="00707F27" w:rsidRDefault="00BE7118" w:rsidP="00BE7118">
      <w:pPr>
        <w:rPr>
          <w:b/>
          <w:szCs w:val="24"/>
        </w:rPr>
      </w:pPr>
      <w:r w:rsidRPr="00707F27">
        <w:rPr>
          <w:b/>
          <w:szCs w:val="24"/>
        </w:rPr>
        <w:t>Role of the School Nurse:</w:t>
      </w:r>
    </w:p>
    <w:p w14:paraId="4EBA36BA" w14:textId="77777777" w:rsidR="00885DA2" w:rsidRPr="00707F27" w:rsidRDefault="00885DA2" w:rsidP="00BE7118">
      <w:pPr>
        <w:rPr>
          <w:b/>
          <w:szCs w:val="24"/>
        </w:rPr>
      </w:pPr>
      <w:r w:rsidRPr="00707F27">
        <w:rPr>
          <w:b/>
          <w:szCs w:val="24"/>
        </w:rPr>
        <w:tab/>
        <w:t>Prevention</w:t>
      </w:r>
    </w:p>
    <w:p w14:paraId="58D25276" w14:textId="77777777" w:rsidR="00885DA2" w:rsidRPr="00AB556D" w:rsidRDefault="00ED3FE0" w:rsidP="00885DA2">
      <w:pPr>
        <w:pStyle w:val="ListParagraph"/>
        <w:numPr>
          <w:ilvl w:val="0"/>
          <w:numId w:val="4"/>
        </w:numPr>
        <w:rPr>
          <w:b/>
          <w:szCs w:val="24"/>
        </w:rPr>
      </w:pPr>
      <w:r>
        <w:rPr>
          <w:szCs w:val="24"/>
        </w:rPr>
        <w:t xml:space="preserve">Review students’ immunization records. </w:t>
      </w:r>
      <w:r w:rsidR="00C92B4F">
        <w:rPr>
          <w:szCs w:val="24"/>
        </w:rPr>
        <w:t xml:space="preserve">Five doses of </w:t>
      </w:r>
      <w:r w:rsidR="00F8445E">
        <w:rPr>
          <w:szCs w:val="24"/>
        </w:rPr>
        <w:t>tetanus</w:t>
      </w:r>
      <w:r w:rsidR="00AB556D">
        <w:rPr>
          <w:szCs w:val="24"/>
        </w:rPr>
        <w:t xml:space="preserve"> tox</w:t>
      </w:r>
      <w:r w:rsidR="00B67DC6">
        <w:rPr>
          <w:szCs w:val="24"/>
        </w:rPr>
        <w:t>oid-containing vaccine (DTaP) are</w:t>
      </w:r>
      <w:r w:rsidR="00AB556D">
        <w:rPr>
          <w:szCs w:val="24"/>
        </w:rPr>
        <w:t xml:space="preserve"> routinely recommended for all children</w:t>
      </w:r>
      <w:r w:rsidR="0070497D">
        <w:rPr>
          <w:szCs w:val="24"/>
        </w:rPr>
        <w:t xml:space="preserve"> at ages 2, </w:t>
      </w:r>
      <w:r w:rsidR="00AB556D">
        <w:rPr>
          <w:szCs w:val="24"/>
        </w:rPr>
        <w:t>4</w:t>
      </w:r>
      <w:r w:rsidR="0070497D">
        <w:rPr>
          <w:szCs w:val="24"/>
        </w:rPr>
        <w:t>, and</w:t>
      </w:r>
      <w:r w:rsidR="00AB556D">
        <w:rPr>
          <w:szCs w:val="24"/>
        </w:rPr>
        <w:t xml:space="preserve"> 6 months, 15-18 months, and 4-6 years.</w:t>
      </w:r>
      <w:r w:rsidR="00E37F50">
        <w:rPr>
          <w:szCs w:val="24"/>
        </w:rPr>
        <w:t xml:space="preserve"> The childhood DTaP series is required for school entry.</w:t>
      </w:r>
      <w:r w:rsidR="0033320F">
        <w:rPr>
          <w:szCs w:val="24"/>
        </w:rPr>
        <w:t xml:space="preserve"> </w:t>
      </w:r>
    </w:p>
    <w:p w14:paraId="17B2715B" w14:textId="77777777" w:rsidR="00AB556D" w:rsidRPr="00AC3E87" w:rsidRDefault="00AB556D" w:rsidP="00885DA2">
      <w:pPr>
        <w:pStyle w:val="ListParagraph"/>
        <w:numPr>
          <w:ilvl w:val="0"/>
          <w:numId w:val="4"/>
        </w:numPr>
        <w:rPr>
          <w:b/>
          <w:szCs w:val="24"/>
        </w:rPr>
      </w:pPr>
      <w:r>
        <w:rPr>
          <w:szCs w:val="24"/>
        </w:rPr>
        <w:t xml:space="preserve">Another </w:t>
      </w:r>
      <w:r w:rsidR="006C4170">
        <w:rPr>
          <w:szCs w:val="24"/>
        </w:rPr>
        <w:t>tetanus</w:t>
      </w:r>
      <w:r>
        <w:rPr>
          <w:szCs w:val="24"/>
        </w:rPr>
        <w:t xml:space="preserve"> toxoid-containing vaccine (Tdap) is routinely recommended for all children ages 11-12 years, or as young as 7 years if they did not complete the childhood series.</w:t>
      </w:r>
      <w:r w:rsidR="00CA548C" w:rsidRPr="00CA548C">
        <w:rPr>
          <w:szCs w:val="24"/>
        </w:rPr>
        <w:t xml:space="preserve"> </w:t>
      </w:r>
      <w:r w:rsidR="00CA548C">
        <w:rPr>
          <w:szCs w:val="24"/>
        </w:rPr>
        <w:t xml:space="preserve">Children on a catch-up schedule or those born outside of the U.S. may have one or more doses of Td vaccine. </w:t>
      </w:r>
      <w:r w:rsidR="0093343C">
        <w:rPr>
          <w:szCs w:val="24"/>
        </w:rPr>
        <w:t xml:space="preserve"> Tdap is required for 7</w:t>
      </w:r>
      <w:r w:rsidR="0093343C" w:rsidRPr="0093343C">
        <w:rPr>
          <w:szCs w:val="24"/>
          <w:vertAlign w:val="superscript"/>
        </w:rPr>
        <w:t>th</w:t>
      </w:r>
      <w:r w:rsidR="0093343C">
        <w:rPr>
          <w:szCs w:val="24"/>
        </w:rPr>
        <w:t xml:space="preserve"> grade entry.</w:t>
      </w:r>
    </w:p>
    <w:p w14:paraId="33B36688" w14:textId="77777777" w:rsidR="00AC3E87" w:rsidRPr="00707F27" w:rsidRDefault="00AC3E87" w:rsidP="00885DA2">
      <w:pPr>
        <w:pStyle w:val="ListParagraph"/>
        <w:numPr>
          <w:ilvl w:val="0"/>
          <w:numId w:val="4"/>
        </w:numPr>
        <w:rPr>
          <w:b/>
          <w:szCs w:val="24"/>
        </w:rPr>
      </w:pPr>
      <w:r>
        <w:rPr>
          <w:szCs w:val="24"/>
        </w:rPr>
        <w:t>All wounds should be cleaned well. Necrotic tissue and foreign materials should be removed.</w:t>
      </w:r>
    </w:p>
    <w:p w14:paraId="04714B46" w14:textId="77777777" w:rsidR="006D3782" w:rsidRDefault="00885DA2" w:rsidP="006D3782">
      <w:pPr>
        <w:rPr>
          <w:b/>
          <w:szCs w:val="24"/>
        </w:rPr>
      </w:pPr>
      <w:r w:rsidRPr="00707F27">
        <w:rPr>
          <w:b/>
          <w:szCs w:val="24"/>
        </w:rPr>
        <w:tab/>
      </w:r>
      <w:r w:rsidRPr="008508D2">
        <w:rPr>
          <w:b/>
          <w:szCs w:val="24"/>
        </w:rPr>
        <w:t>Treatment Recommendations</w:t>
      </w:r>
    </w:p>
    <w:p w14:paraId="09616412" w14:textId="77777777" w:rsidR="006D3782" w:rsidRPr="006D3782" w:rsidRDefault="0033320F" w:rsidP="006D3782">
      <w:pPr>
        <w:numPr>
          <w:ilvl w:val="0"/>
          <w:numId w:val="16"/>
        </w:numPr>
        <w:rPr>
          <w:b/>
          <w:szCs w:val="24"/>
        </w:rPr>
      </w:pPr>
      <w:r>
        <w:rPr>
          <w:iCs/>
          <w:szCs w:val="24"/>
        </w:rPr>
        <w:t>Intramuscular t</w:t>
      </w:r>
      <w:r w:rsidR="00BD0012">
        <w:rPr>
          <w:iCs/>
          <w:szCs w:val="24"/>
        </w:rPr>
        <w:t xml:space="preserve">etanus immune globulin (TIG) is recommended for persons with tetanus. </w:t>
      </w:r>
    </w:p>
    <w:p w14:paraId="7848BD62" w14:textId="77777777" w:rsidR="006D3782" w:rsidRPr="0033320F" w:rsidRDefault="00BD0012" w:rsidP="006D3782">
      <w:pPr>
        <w:numPr>
          <w:ilvl w:val="0"/>
          <w:numId w:val="16"/>
        </w:numPr>
        <w:rPr>
          <w:b/>
          <w:szCs w:val="24"/>
        </w:rPr>
      </w:pPr>
      <w:r w:rsidRPr="0033320F">
        <w:rPr>
          <w:iCs/>
          <w:szCs w:val="24"/>
        </w:rPr>
        <w:t>If TIG is not available,</w:t>
      </w:r>
      <w:r w:rsidR="0033320F" w:rsidRPr="0033320F">
        <w:rPr>
          <w:color w:val="000000"/>
          <w:szCs w:val="24"/>
          <w:shd w:val="clear" w:color="auto" w:fill="FFFFFF"/>
        </w:rPr>
        <w:t xml:space="preserve"> clinicians can use Immune Globulin Intravenous (IGIV)</w:t>
      </w:r>
      <w:r w:rsidRPr="0033320F">
        <w:rPr>
          <w:iCs/>
          <w:szCs w:val="24"/>
        </w:rPr>
        <w:t>.</w:t>
      </w:r>
      <w:r w:rsidR="00A2646C" w:rsidRPr="0033320F">
        <w:rPr>
          <w:iCs/>
          <w:szCs w:val="24"/>
        </w:rPr>
        <w:t xml:space="preserve"> Antibiotics may also be given.</w:t>
      </w:r>
      <w:r w:rsidR="006D3782" w:rsidRPr="0033320F">
        <w:rPr>
          <w:iCs/>
          <w:szCs w:val="24"/>
        </w:rPr>
        <w:t xml:space="preserve"> </w:t>
      </w:r>
    </w:p>
    <w:p w14:paraId="1996574F" w14:textId="77777777" w:rsidR="00C6107D" w:rsidRPr="006D3782" w:rsidRDefault="00C6107D" w:rsidP="006D3782">
      <w:pPr>
        <w:numPr>
          <w:ilvl w:val="0"/>
          <w:numId w:val="16"/>
        </w:numPr>
        <w:rPr>
          <w:b/>
          <w:szCs w:val="24"/>
        </w:rPr>
      </w:pPr>
      <w:r>
        <w:rPr>
          <w:iCs/>
          <w:szCs w:val="24"/>
        </w:rPr>
        <w:t>Active immunization with tetanus toxoid should be initiated concurrently with treatment.</w:t>
      </w:r>
    </w:p>
    <w:p w14:paraId="37A02B2C" w14:textId="77777777" w:rsidR="00885DA2" w:rsidRPr="008508D2" w:rsidRDefault="00885DA2" w:rsidP="00BE7118">
      <w:pPr>
        <w:rPr>
          <w:b/>
          <w:szCs w:val="24"/>
        </w:rPr>
      </w:pPr>
      <w:r w:rsidRPr="008508D2">
        <w:rPr>
          <w:b/>
          <w:szCs w:val="24"/>
        </w:rPr>
        <w:tab/>
        <w:t>Exclusions</w:t>
      </w:r>
    </w:p>
    <w:p w14:paraId="16A4F6AD" w14:textId="77777777" w:rsidR="0092681A" w:rsidRPr="00707F27" w:rsidRDefault="00BD2E13" w:rsidP="00885DA2">
      <w:pPr>
        <w:pStyle w:val="ListParagraph"/>
        <w:numPr>
          <w:ilvl w:val="0"/>
          <w:numId w:val="6"/>
        </w:numPr>
        <w:rPr>
          <w:b/>
          <w:szCs w:val="24"/>
        </w:rPr>
      </w:pPr>
      <w:r>
        <w:rPr>
          <w:szCs w:val="24"/>
        </w:rPr>
        <w:t>There are no exclusions for tetanus. It cannot be transmitted</w:t>
      </w:r>
      <w:r w:rsidR="00C74E93">
        <w:rPr>
          <w:szCs w:val="24"/>
        </w:rPr>
        <w:t xml:space="preserve"> from</w:t>
      </w:r>
      <w:r>
        <w:rPr>
          <w:szCs w:val="24"/>
        </w:rPr>
        <w:t xml:space="preserve"> person to person. </w:t>
      </w:r>
    </w:p>
    <w:p w14:paraId="51980D75" w14:textId="77777777" w:rsidR="00885DA2" w:rsidRPr="00707F27" w:rsidRDefault="00885DA2" w:rsidP="00BE7118">
      <w:pPr>
        <w:rPr>
          <w:b/>
          <w:szCs w:val="24"/>
        </w:rPr>
      </w:pPr>
      <w:r w:rsidRPr="00707F27">
        <w:rPr>
          <w:b/>
          <w:szCs w:val="24"/>
        </w:rPr>
        <w:tab/>
        <w:t>Reporting Requirements</w:t>
      </w:r>
    </w:p>
    <w:p w14:paraId="51492DB3" w14:textId="77777777" w:rsidR="00396DAC" w:rsidRPr="00707F27" w:rsidRDefault="00BD2E13" w:rsidP="00707F27">
      <w:pPr>
        <w:pStyle w:val="ListParagraph"/>
        <w:numPr>
          <w:ilvl w:val="0"/>
          <w:numId w:val="6"/>
        </w:numPr>
      </w:pPr>
      <w:r>
        <w:rPr>
          <w:iCs/>
        </w:rPr>
        <w:t>Tetanus</w:t>
      </w:r>
      <w:r w:rsidR="00707F27" w:rsidRPr="00707F27">
        <w:rPr>
          <w:iCs/>
        </w:rPr>
        <w:t xml:space="preserve"> is reportable immediately by telephone on recognition or strong suspicion of disease. </w:t>
      </w:r>
    </w:p>
    <w:p w14:paraId="7F6B10F4" w14:textId="77777777" w:rsidR="00885DA2" w:rsidRPr="006E0E3D" w:rsidRDefault="00885DA2" w:rsidP="00396DAC">
      <w:pPr>
        <w:rPr>
          <w:b/>
          <w:szCs w:val="24"/>
        </w:rPr>
      </w:pPr>
    </w:p>
    <w:p w14:paraId="15F7E6B1" w14:textId="753C94CE" w:rsidR="002F6E19" w:rsidRDefault="00396DAC" w:rsidP="00F022FD">
      <w:pPr>
        <w:rPr>
          <w:b/>
          <w:szCs w:val="24"/>
        </w:rPr>
      </w:pPr>
      <w:r w:rsidRPr="006E0E3D">
        <w:rPr>
          <w:b/>
          <w:szCs w:val="24"/>
        </w:rPr>
        <w:t>Resources</w:t>
      </w:r>
      <w:r w:rsidR="00C97C28" w:rsidRPr="006E0E3D">
        <w:rPr>
          <w:b/>
          <w:szCs w:val="24"/>
        </w:rPr>
        <w:t>:</w:t>
      </w:r>
    </w:p>
    <w:p w14:paraId="2CC4A136" w14:textId="77777777" w:rsidR="00F022FD" w:rsidRPr="00F022FD" w:rsidRDefault="00F022FD" w:rsidP="00F022FD">
      <w:pPr>
        <w:rPr>
          <w:b/>
          <w:szCs w:val="24"/>
        </w:rPr>
      </w:pPr>
    </w:p>
    <w:p w14:paraId="285ABA17" w14:textId="041B3135" w:rsidR="006D3782" w:rsidRPr="0041217E" w:rsidRDefault="00A07DDF" w:rsidP="0041217E">
      <w:pPr>
        <w:pStyle w:val="ListParagraph"/>
        <w:numPr>
          <w:ilvl w:val="0"/>
          <w:numId w:val="3"/>
        </w:numPr>
        <w:rPr>
          <w:szCs w:val="24"/>
        </w:rPr>
      </w:pPr>
      <w:r>
        <w:t>Maine Immunization Program</w:t>
      </w:r>
      <w:r w:rsidR="0041217E">
        <w:t>:</w:t>
      </w:r>
      <w:r>
        <w:t xml:space="preserve"> </w:t>
      </w:r>
      <w:r w:rsidR="0041217E" w:rsidRPr="0041217E">
        <w:rPr>
          <w:color w:val="0000FF"/>
          <w:u w:val="single"/>
        </w:rPr>
        <w:t>https://immunizeme.org</w:t>
      </w:r>
    </w:p>
    <w:p w14:paraId="3BA1C086" w14:textId="77777777" w:rsidR="00BE7118" w:rsidRPr="00A07DDF" w:rsidRDefault="00885DA2" w:rsidP="00A07DDF">
      <w:pPr>
        <w:pStyle w:val="ListParagraph"/>
        <w:numPr>
          <w:ilvl w:val="0"/>
          <w:numId w:val="3"/>
        </w:numPr>
        <w:rPr>
          <w:szCs w:val="24"/>
        </w:rPr>
      </w:pPr>
      <w:r w:rsidRPr="006E0E3D">
        <w:rPr>
          <w:szCs w:val="24"/>
        </w:rPr>
        <w:t>F</w:t>
      </w:r>
      <w:r w:rsidR="00396DAC" w:rsidRPr="006E0E3D">
        <w:rPr>
          <w:szCs w:val="24"/>
        </w:rPr>
        <w:t xml:space="preserve">ederal CDC </w:t>
      </w:r>
      <w:r w:rsidR="00504FFA">
        <w:rPr>
          <w:szCs w:val="24"/>
        </w:rPr>
        <w:t>website</w:t>
      </w:r>
      <w:r w:rsidR="00604A59">
        <w:rPr>
          <w:szCs w:val="24"/>
        </w:rPr>
        <w:t xml:space="preserve"> </w:t>
      </w:r>
      <w:hyperlink r:id="rId8" w:history="1">
        <w:r w:rsidR="006D3782" w:rsidRPr="006D3782">
          <w:rPr>
            <w:color w:val="0000FF"/>
            <w:u w:val="single"/>
          </w:rPr>
          <w:t>https://www.cdc.gov/tetanus/index.html</w:t>
        </w:r>
      </w:hyperlink>
    </w:p>
    <w:sectPr w:rsidR="00BE7118" w:rsidRPr="00A07DDF" w:rsidSect="00885DA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1DF6" w14:textId="77777777" w:rsidR="005E71DF" w:rsidRDefault="005E71DF" w:rsidP="00396DAC">
      <w:r>
        <w:separator/>
      </w:r>
    </w:p>
  </w:endnote>
  <w:endnote w:type="continuationSeparator" w:id="0">
    <w:p w14:paraId="200039EF" w14:textId="77777777" w:rsidR="005E71DF" w:rsidRDefault="005E71DF"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600F" w14:textId="590707E7" w:rsidR="00F84CAB" w:rsidRDefault="00FA748B">
    <w:pPr>
      <w:pStyle w:val="Footer"/>
    </w:pPr>
    <w:r>
      <w:t>Updated</w:t>
    </w:r>
    <w:r w:rsidR="00F84CAB">
      <w:t xml:space="preserve"> </w:t>
    </w:r>
    <w:r>
      <w:t>1</w:t>
    </w:r>
    <w:r w:rsidR="0041217E">
      <w:t>0/10/2024</w:t>
    </w:r>
  </w:p>
  <w:p w14:paraId="00D61744" w14:textId="77777777" w:rsidR="00F84CAB" w:rsidRDefault="00F8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1F6E" w14:textId="77777777" w:rsidR="005E71DF" w:rsidRDefault="005E71DF" w:rsidP="00396DAC">
      <w:r>
        <w:separator/>
      </w:r>
    </w:p>
  </w:footnote>
  <w:footnote w:type="continuationSeparator" w:id="0">
    <w:p w14:paraId="3E53AD65" w14:textId="77777777" w:rsidR="005E71DF" w:rsidRDefault="005E71DF"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858C" w14:textId="42478FA0" w:rsidR="001D0770" w:rsidRDefault="001D0770">
    <w:pPr>
      <w:pStyle w:val="Header"/>
    </w:pPr>
    <w:r>
      <w:rPr>
        <w:noProof/>
      </w:rPr>
      <w:drawing>
        <wp:anchor distT="0" distB="0" distL="114300" distR="114300" simplePos="0" relativeHeight="251659264" behindDoc="1" locked="0" layoutInCell="1" allowOverlap="1" wp14:anchorId="523106DD" wp14:editId="496BA937">
          <wp:simplePos x="0" y="0"/>
          <wp:positionH relativeFrom="column">
            <wp:posOffset>-104775</wp:posOffset>
          </wp:positionH>
          <wp:positionV relativeFrom="paragraph">
            <wp:posOffset>-272415</wp:posOffset>
          </wp:positionV>
          <wp:extent cx="678180" cy="678180"/>
          <wp:effectExtent l="0" t="0" r="0" b="0"/>
          <wp:wrapTight wrapText="bothSides">
            <wp:wrapPolygon edited="0">
              <wp:start x="0" y="0"/>
              <wp:lineTo x="0" y="21236"/>
              <wp:lineTo x="21236" y="21236"/>
              <wp:lineTo x="21236" y="0"/>
              <wp:lineTo x="0" y="0"/>
            </wp:wrapPolygon>
          </wp:wrapTight>
          <wp:docPr id="1" name="Picture 2" descr="L:\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ministration-Logistics\Forms-Templates\Logos\DHHS-Seal-2018-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23D"/>
    <w:multiLevelType w:val="hybridMultilevel"/>
    <w:tmpl w:val="D128A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418A5"/>
    <w:multiLevelType w:val="hybridMultilevel"/>
    <w:tmpl w:val="C92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3B3A22"/>
    <w:multiLevelType w:val="hybridMultilevel"/>
    <w:tmpl w:val="CC685626"/>
    <w:lvl w:ilvl="0" w:tplc="7BE211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CC491A"/>
    <w:multiLevelType w:val="hybridMultilevel"/>
    <w:tmpl w:val="492A55A2"/>
    <w:lvl w:ilvl="0" w:tplc="7BE211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87B34"/>
    <w:multiLevelType w:val="hybridMultilevel"/>
    <w:tmpl w:val="A2CE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B0033"/>
    <w:multiLevelType w:val="hybridMultilevel"/>
    <w:tmpl w:val="B662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777A3"/>
    <w:multiLevelType w:val="hybridMultilevel"/>
    <w:tmpl w:val="93C6B86A"/>
    <w:lvl w:ilvl="0" w:tplc="71C28F36">
      <w:start w:val="1"/>
      <w:numFmt w:val="bullet"/>
      <w:lvlText w:val=""/>
      <w:lvlJc w:val="left"/>
      <w:pPr>
        <w:ind w:left="0" w:firstLine="108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4F139F"/>
    <w:multiLevelType w:val="hybridMultilevel"/>
    <w:tmpl w:val="E2382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B70733"/>
    <w:multiLevelType w:val="hybridMultilevel"/>
    <w:tmpl w:val="AF364132"/>
    <w:lvl w:ilvl="0" w:tplc="7BE211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E64CE5"/>
    <w:multiLevelType w:val="hybridMultilevel"/>
    <w:tmpl w:val="49A2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D00D2"/>
    <w:multiLevelType w:val="hybridMultilevel"/>
    <w:tmpl w:val="B9F2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203F7B"/>
    <w:multiLevelType w:val="hybridMultilevel"/>
    <w:tmpl w:val="7EA4C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22374321">
    <w:abstractNumId w:val="11"/>
  </w:num>
  <w:num w:numId="2" w16cid:durableId="1049570261">
    <w:abstractNumId w:val="14"/>
  </w:num>
  <w:num w:numId="3" w16cid:durableId="1484740936">
    <w:abstractNumId w:val="12"/>
  </w:num>
  <w:num w:numId="4" w16cid:durableId="1544366948">
    <w:abstractNumId w:val="13"/>
  </w:num>
  <w:num w:numId="5" w16cid:durableId="1624730653">
    <w:abstractNumId w:val="3"/>
  </w:num>
  <w:num w:numId="6" w16cid:durableId="1429738119">
    <w:abstractNumId w:val="1"/>
  </w:num>
  <w:num w:numId="7" w16cid:durableId="1849442513">
    <w:abstractNumId w:val="15"/>
  </w:num>
  <w:num w:numId="8" w16cid:durableId="1164277826">
    <w:abstractNumId w:val="6"/>
  </w:num>
  <w:num w:numId="9" w16cid:durableId="1382703600">
    <w:abstractNumId w:val="0"/>
  </w:num>
  <w:num w:numId="10" w16cid:durableId="1888880478">
    <w:abstractNumId w:val="10"/>
  </w:num>
  <w:num w:numId="11" w16cid:durableId="1463160060">
    <w:abstractNumId w:val="8"/>
  </w:num>
  <w:num w:numId="12" w16cid:durableId="1630819954">
    <w:abstractNumId w:val="5"/>
  </w:num>
  <w:num w:numId="13" w16cid:durableId="692920512">
    <w:abstractNumId w:val="7"/>
  </w:num>
  <w:num w:numId="14" w16cid:durableId="431046908">
    <w:abstractNumId w:val="4"/>
  </w:num>
  <w:num w:numId="15" w16cid:durableId="1055355830">
    <w:abstractNumId w:val="9"/>
  </w:num>
  <w:num w:numId="16" w16cid:durableId="1805582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18"/>
    <w:rsid w:val="00096DF0"/>
    <w:rsid w:val="00106FEB"/>
    <w:rsid w:val="00150B86"/>
    <w:rsid w:val="00155BCF"/>
    <w:rsid w:val="0019334D"/>
    <w:rsid w:val="001D0770"/>
    <w:rsid w:val="001D1F0C"/>
    <w:rsid w:val="001E551D"/>
    <w:rsid w:val="002205BD"/>
    <w:rsid w:val="00240EDE"/>
    <w:rsid w:val="002C23AA"/>
    <w:rsid w:val="002F6E19"/>
    <w:rsid w:val="00302AE2"/>
    <w:rsid w:val="0033320F"/>
    <w:rsid w:val="0038284F"/>
    <w:rsid w:val="00396DAC"/>
    <w:rsid w:val="00397DDF"/>
    <w:rsid w:val="003C2D1C"/>
    <w:rsid w:val="003D21C4"/>
    <w:rsid w:val="003D7507"/>
    <w:rsid w:val="003E3E94"/>
    <w:rsid w:val="00406120"/>
    <w:rsid w:val="0041217E"/>
    <w:rsid w:val="00484958"/>
    <w:rsid w:val="004C1747"/>
    <w:rsid w:val="004F6B88"/>
    <w:rsid w:val="00504FFA"/>
    <w:rsid w:val="00561FAE"/>
    <w:rsid w:val="00585A27"/>
    <w:rsid w:val="005B2825"/>
    <w:rsid w:val="005D4373"/>
    <w:rsid w:val="005E71DF"/>
    <w:rsid w:val="00604A59"/>
    <w:rsid w:val="006400AD"/>
    <w:rsid w:val="00674339"/>
    <w:rsid w:val="006C4170"/>
    <w:rsid w:val="006D3782"/>
    <w:rsid w:val="006E0E3D"/>
    <w:rsid w:val="0070497D"/>
    <w:rsid w:val="00707F27"/>
    <w:rsid w:val="0075294C"/>
    <w:rsid w:val="007B7E94"/>
    <w:rsid w:val="007E169B"/>
    <w:rsid w:val="007F430A"/>
    <w:rsid w:val="0082680B"/>
    <w:rsid w:val="00842CDC"/>
    <w:rsid w:val="008508D2"/>
    <w:rsid w:val="00853D0C"/>
    <w:rsid w:val="00853DEE"/>
    <w:rsid w:val="00885DA2"/>
    <w:rsid w:val="00893E5C"/>
    <w:rsid w:val="008C2F6D"/>
    <w:rsid w:val="0092681A"/>
    <w:rsid w:val="0093343C"/>
    <w:rsid w:val="0095326B"/>
    <w:rsid w:val="009D5111"/>
    <w:rsid w:val="009F5E3C"/>
    <w:rsid w:val="00A07DDF"/>
    <w:rsid w:val="00A2646C"/>
    <w:rsid w:val="00A95B13"/>
    <w:rsid w:val="00AB556D"/>
    <w:rsid w:val="00AC3E87"/>
    <w:rsid w:val="00AD42FB"/>
    <w:rsid w:val="00AD7C75"/>
    <w:rsid w:val="00B12CCC"/>
    <w:rsid w:val="00B20AB2"/>
    <w:rsid w:val="00B67DC6"/>
    <w:rsid w:val="00B75F6A"/>
    <w:rsid w:val="00B80BFC"/>
    <w:rsid w:val="00BD0012"/>
    <w:rsid w:val="00BD2E13"/>
    <w:rsid w:val="00BE7118"/>
    <w:rsid w:val="00C13BB8"/>
    <w:rsid w:val="00C14E32"/>
    <w:rsid w:val="00C6107D"/>
    <w:rsid w:val="00C74E93"/>
    <w:rsid w:val="00C86A3C"/>
    <w:rsid w:val="00C876FF"/>
    <w:rsid w:val="00C92B4F"/>
    <w:rsid w:val="00C97C28"/>
    <w:rsid w:val="00CA548C"/>
    <w:rsid w:val="00CD4BF0"/>
    <w:rsid w:val="00D55055"/>
    <w:rsid w:val="00DB62A6"/>
    <w:rsid w:val="00DD07D9"/>
    <w:rsid w:val="00E13C68"/>
    <w:rsid w:val="00E332ED"/>
    <w:rsid w:val="00E37F50"/>
    <w:rsid w:val="00E76669"/>
    <w:rsid w:val="00ED149E"/>
    <w:rsid w:val="00ED3FE0"/>
    <w:rsid w:val="00EE253E"/>
    <w:rsid w:val="00EF2C7A"/>
    <w:rsid w:val="00F022FD"/>
    <w:rsid w:val="00F1285A"/>
    <w:rsid w:val="00F8445E"/>
    <w:rsid w:val="00F84CAB"/>
    <w:rsid w:val="00FA748B"/>
    <w:rsid w:val="00FC08CD"/>
    <w:rsid w:val="00FE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36638"/>
  <w15:chartTrackingRefBased/>
  <w15:docId w15:val="{7F20C29D-5754-4055-9AA5-77C35D78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9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uiPriority w:val="99"/>
    <w:unhideWhenUsed/>
    <w:rsid w:val="00396DAC"/>
    <w:rPr>
      <w:color w:val="0000FF"/>
      <w:u w:val="single"/>
    </w:rPr>
  </w:style>
  <w:style w:type="paragraph" w:styleId="Header">
    <w:name w:val="header"/>
    <w:basedOn w:val="Normal"/>
    <w:link w:val="HeaderChar"/>
    <w:unhideWhenUsed/>
    <w:rsid w:val="00396DAC"/>
    <w:pPr>
      <w:tabs>
        <w:tab w:val="center" w:pos="4680"/>
        <w:tab w:val="right" w:pos="9360"/>
      </w:tabs>
    </w:pPr>
  </w:style>
  <w:style w:type="character" w:customStyle="1" w:styleId="HeaderChar">
    <w:name w:val="Header Char"/>
    <w:basedOn w:val="DefaultParagraphFont"/>
    <w:link w:val="Header"/>
    <w:uiPriority w:val="99"/>
    <w:semiHidden/>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link w:val="BalloonText"/>
    <w:uiPriority w:val="99"/>
    <w:semiHidden/>
    <w:rsid w:val="00396DAC"/>
    <w:rPr>
      <w:rFonts w:ascii="Tahoma" w:hAnsi="Tahoma" w:cs="Tahoma"/>
      <w:sz w:val="16"/>
      <w:szCs w:val="16"/>
    </w:rPr>
  </w:style>
  <w:style w:type="character" w:styleId="CommentReference">
    <w:name w:val="annotation reference"/>
    <w:uiPriority w:val="99"/>
    <w:semiHidden/>
    <w:unhideWhenUsed/>
    <w:rsid w:val="00842CDC"/>
    <w:rPr>
      <w:sz w:val="16"/>
      <w:szCs w:val="16"/>
    </w:rPr>
  </w:style>
  <w:style w:type="paragraph" w:styleId="CommentText">
    <w:name w:val="annotation text"/>
    <w:basedOn w:val="Normal"/>
    <w:link w:val="CommentTextChar"/>
    <w:uiPriority w:val="99"/>
    <w:semiHidden/>
    <w:unhideWhenUsed/>
    <w:rsid w:val="00842CDC"/>
    <w:rPr>
      <w:sz w:val="20"/>
      <w:szCs w:val="20"/>
    </w:rPr>
  </w:style>
  <w:style w:type="character" w:customStyle="1" w:styleId="CommentTextChar">
    <w:name w:val="Comment Text Char"/>
    <w:link w:val="CommentText"/>
    <w:uiPriority w:val="99"/>
    <w:semiHidden/>
    <w:rsid w:val="00842CDC"/>
    <w:rPr>
      <w:sz w:val="20"/>
      <w:szCs w:val="20"/>
    </w:rPr>
  </w:style>
  <w:style w:type="paragraph" w:styleId="CommentSubject">
    <w:name w:val="annotation subject"/>
    <w:basedOn w:val="CommentText"/>
    <w:next w:val="CommentText"/>
    <w:link w:val="CommentSubjectChar"/>
    <w:uiPriority w:val="99"/>
    <w:semiHidden/>
    <w:unhideWhenUsed/>
    <w:rsid w:val="00842CDC"/>
    <w:rPr>
      <w:b/>
      <w:bCs/>
    </w:rPr>
  </w:style>
  <w:style w:type="character" w:customStyle="1" w:styleId="CommentSubjectChar">
    <w:name w:val="Comment Subject Char"/>
    <w:link w:val="CommentSubject"/>
    <w:uiPriority w:val="99"/>
    <w:semiHidden/>
    <w:rsid w:val="00842CDC"/>
    <w:rPr>
      <w:b/>
      <w:bCs/>
      <w:sz w:val="20"/>
      <w:szCs w:val="20"/>
    </w:rPr>
  </w:style>
  <w:style w:type="character" w:styleId="FollowedHyperlink">
    <w:name w:val="FollowedHyperlink"/>
    <w:uiPriority w:val="99"/>
    <w:semiHidden/>
    <w:unhideWhenUsed/>
    <w:rsid w:val="006D3782"/>
    <w:rPr>
      <w:color w:val="954F72"/>
      <w:u w:val="single"/>
    </w:rPr>
  </w:style>
  <w:style w:type="paragraph" w:styleId="Revision">
    <w:name w:val="Revision"/>
    <w:hidden/>
    <w:uiPriority w:val="99"/>
    <w:semiHidden/>
    <w:rsid w:val="0041217E"/>
    <w:rPr>
      <w:sz w:val="24"/>
      <w:szCs w:val="22"/>
    </w:rPr>
  </w:style>
  <w:style w:type="character" w:styleId="UnresolvedMention">
    <w:name w:val="Unresolved Mention"/>
    <w:basedOn w:val="DefaultParagraphFont"/>
    <w:uiPriority w:val="99"/>
    <w:semiHidden/>
    <w:unhideWhenUsed/>
    <w:rsid w:val="00412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tetanu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9C893-482B-4226-866D-B4732A05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2596</CharactersWithSpaces>
  <SharedDoc>false</SharedDoc>
  <HLinks>
    <vt:vector size="18" baseType="variant">
      <vt:variant>
        <vt:i4>2162748</vt:i4>
      </vt:variant>
      <vt:variant>
        <vt:i4>6</vt:i4>
      </vt:variant>
      <vt:variant>
        <vt:i4>0</vt:i4>
      </vt:variant>
      <vt:variant>
        <vt:i4>5</vt:i4>
      </vt:variant>
      <vt:variant>
        <vt:lpwstr>https://www.cdc.gov/tetanus/index.html</vt:lpwstr>
      </vt:variant>
      <vt:variant>
        <vt:lpwstr/>
      </vt:variant>
      <vt:variant>
        <vt:i4>4522054</vt:i4>
      </vt:variant>
      <vt:variant>
        <vt:i4>3</vt:i4>
      </vt:variant>
      <vt:variant>
        <vt:i4>0</vt:i4>
      </vt:variant>
      <vt:variant>
        <vt:i4>5</vt:i4>
      </vt:variant>
      <vt:variant>
        <vt:lpwstr>https://www.maine.gov/dhhs/mecdc/infectious-disease/immunization/</vt:lpwstr>
      </vt:variant>
      <vt:variant>
        <vt:lpwstr/>
      </vt:variant>
      <vt:variant>
        <vt:i4>4521996</vt:i4>
      </vt:variant>
      <vt:variant>
        <vt:i4>0</vt:i4>
      </vt:variant>
      <vt:variant>
        <vt:i4>0</vt:i4>
      </vt:variant>
      <vt:variant>
        <vt:i4>5</vt:i4>
      </vt:variant>
      <vt:variant>
        <vt:lpwstr>http://www.maine.gov/dhhs/mecdc/infectious-disease/epi/vaccine/tetanus.shtml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sara.robinson</dc:creator>
  <cp:keywords/>
  <cp:lastModifiedBy>Shipman, Kathryn</cp:lastModifiedBy>
  <cp:revision>4</cp:revision>
  <dcterms:created xsi:type="dcterms:W3CDTF">2025-05-15T17:45:00Z</dcterms:created>
  <dcterms:modified xsi:type="dcterms:W3CDTF">2025-10-08T19:33:00Z</dcterms:modified>
</cp:coreProperties>
</file>