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E2D3" w14:textId="7FF454EA" w:rsidR="008349CD" w:rsidRDefault="00B13905" w:rsidP="008349CD">
      <w:pPr>
        <w:ind w:left="3600"/>
        <w:rPr>
          <w:sz w:val="18"/>
          <w:szCs w:val="18"/>
        </w:rPr>
      </w:pPr>
      <w:r>
        <w:rPr>
          <w:noProof/>
        </w:rPr>
        <mc:AlternateContent>
          <mc:Choice Requires="wps">
            <w:drawing>
              <wp:anchor distT="45720" distB="45720" distL="114300" distR="114300" simplePos="0" relativeHeight="251659264" behindDoc="0" locked="0" layoutInCell="1" allowOverlap="1" wp14:anchorId="062BF814" wp14:editId="51889621">
                <wp:simplePos x="0" y="0"/>
                <wp:positionH relativeFrom="column">
                  <wp:posOffset>3398520</wp:posOffset>
                </wp:positionH>
                <wp:positionV relativeFrom="paragraph">
                  <wp:posOffset>7620</wp:posOffset>
                </wp:positionV>
                <wp:extent cx="2945765" cy="10414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041400"/>
                        </a:xfrm>
                        <a:prstGeom prst="rect">
                          <a:avLst/>
                        </a:prstGeom>
                        <a:solidFill>
                          <a:srgbClr val="FFFFFF"/>
                        </a:solidFill>
                        <a:ln w="9525">
                          <a:noFill/>
                          <a:miter lim="800000"/>
                          <a:headEnd/>
                          <a:tailEnd/>
                        </a:ln>
                      </wps:spPr>
                      <wps:txbx>
                        <w:txbxContent>
                          <w:p w14:paraId="341C69ED" w14:textId="77777777" w:rsidR="008349CD" w:rsidRPr="0013585E" w:rsidRDefault="008349CD" w:rsidP="008349CD">
                            <w:pPr>
                              <w:jc w:val="right"/>
                              <w:rPr>
                                <w:b/>
                                <w:color w:val="365F91" w:themeColor="accent1" w:themeShade="BF"/>
                                <w:sz w:val="18"/>
                                <w:szCs w:val="18"/>
                              </w:rPr>
                            </w:pPr>
                            <w:r w:rsidRPr="0013585E">
                              <w:rPr>
                                <w:b/>
                                <w:color w:val="365F91" w:themeColor="accent1" w:themeShade="BF"/>
                                <w:sz w:val="18"/>
                                <w:szCs w:val="18"/>
                              </w:rPr>
                              <w:t>Maine Department of Health and Human Services</w:t>
                            </w:r>
                          </w:p>
                          <w:p w14:paraId="411879A5"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Maine Center for Disease Control and Prevention</w:t>
                            </w:r>
                          </w:p>
                          <w:p w14:paraId="62FF92E5"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11 State House Station</w:t>
                            </w:r>
                          </w:p>
                          <w:p w14:paraId="01B340E0"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220 Capitol Street</w:t>
                            </w:r>
                          </w:p>
                          <w:p w14:paraId="54CC7125" w14:textId="77777777" w:rsidR="008349CD" w:rsidRPr="0013585E" w:rsidRDefault="008349CD" w:rsidP="008349CD">
                            <w:pPr>
                              <w:jc w:val="right"/>
                              <w:rPr>
                                <w:b/>
                                <w:color w:val="365F91" w:themeColor="accent1" w:themeShade="BF"/>
                                <w:sz w:val="18"/>
                                <w:szCs w:val="18"/>
                              </w:rPr>
                            </w:pPr>
                            <w:r w:rsidRPr="0013585E">
                              <w:rPr>
                                <w:b/>
                                <w:color w:val="365F91" w:themeColor="accent1" w:themeShade="BF"/>
                                <w:sz w:val="18"/>
                                <w:szCs w:val="18"/>
                              </w:rPr>
                              <w:t>Augusta, Maine 04333-0011</w:t>
                            </w:r>
                          </w:p>
                          <w:p w14:paraId="421D72E2" w14:textId="77777777" w:rsidR="008349CD" w:rsidRPr="0013585E" w:rsidRDefault="008349CD" w:rsidP="008349CD">
                            <w:pPr>
                              <w:jc w:val="right"/>
                              <w:rPr>
                                <w:b/>
                                <w:color w:val="365F91" w:themeColor="accent1" w:themeShade="BF"/>
                                <w:sz w:val="18"/>
                                <w:szCs w:val="18"/>
                              </w:rPr>
                            </w:pPr>
                            <w:r>
                              <w:rPr>
                                <w:b/>
                                <w:color w:val="365F91" w:themeColor="accent1" w:themeShade="BF"/>
                                <w:sz w:val="18"/>
                                <w:szCs w:val="18"/>
                              </w:rPr>
                              <w:t>Tel:</w:t>
                            </w:r>
                            <w:r w:rsidRPr="0013585E">
                              <w:rPr>
                                <w:b/>
                                <w:color w:val="365F91" w:themeColor="accent1" w:themeShade="BF"/>
                                <w:sz w:val="18"/>
                                <w:szCs w:val="18"/>
                              </w:rPr>
                              <w:t xml:space="preserve"> (207) 287-</w:t>
                            </w:r>
                            <w:r>
                              <w:rPr>
                                <w:b/>
                                <w:color w:val="365F91" w:themeColor="accent1" w:themeShade="BF"/>
                                <w:sz w:val="18"/>
                                <w:szCs w:val="18"/>
                              </w:rPr>
                              <w:t>5500</w:t>
                            </w:r>
                            <w:r w:rsidRPr="0013585E">
                              <w:rPr>
                                <w:b/>
                                <w:color w:val="365F91" w:themeColor="accent1" w:themeShade="BF"/>
                                <w:sz w:val="18"/>
                                <w:szCs w:val="18"/>
                              </w:rPr>
                              <w:t xml:space="preserve">; </w:t>
                            </w:r>
                            <w:r>
                              <w:rPr>
                                <w:b/>
                                <w:color w:val="365F91" w:themeColor="accent1" w:themeShade="BF"/>
                                <w:sz w:val="18"/>
                                <w:szCs w:val="18"/>
                              </w:rPr>
                              <w:t xml:space="preserve">Toll Free: (888) 664-9491     </w:t>
                            </w:r>
                          </w:p>
                          <w:p w14:paraId="7ECD1BCB" w14:textId="77777777" w:rsidR="008349CD" w:rsidRPr="0001689D" w:rsidRDefault="008349CD" w:rsidP="008349CD">
                            <w:pPr>
                              <w:jc w:val="right"/>
                              <w:rPr>
                                <w:b/>
                                <w:color w:val="365F91" w:themeColor="accent1" w:themeShade="BF"/>
                                <w:sz w:val="18"/>
                                <w:szCs w:val="18"/>
                              </w:rPr>
                            </w:pPr>
                            <w:r w:rsidRPr="0013585E">
                              <w:rPr>
                                <w:b/>
                                <w:color w:val="365F91" w:themeColor="accent1" w:themeShade="BF"/>
                                <w:sz w:val="18"/>
                                <w:szCs w:val="18"/>
                              </w:rPr>
                              <w:t>TTY: Dial 711 (Maine Relay)</w:t>
                            </w:r>
                            <w:r>
                              <w:rPr>
                                <w:b/>
                                <w:color w:val="365F91" w:themeColor="accent1" w:themeShade="BF"/>
                                <w:sz w:val="18"/>
                                <w:szCs w:val="18"/>
                              </w:rPr>
                              <w:t>;</w:t>
                            </w:r>
                            <w:r w:rsidRPr="0001689D">
                              <w:rPr>
                                <w:b/>
                                <w:color w:val="365F91" w:themeColor="accent1" w:themeShade="BF"/>
                                <w:sz w:val="18"/>
                                <w:szCs w:val="18"/>
                              </w:rPr>
                              <w:t xml:space="preserve"> </w:t>
                            </w:r>
                            <w:r w:rsidRPr="0013585E">
                              <w:rPr>
                                <w:b/>
                                <w:color w:val="365F91" w:themeColor="accent1" w:themeShade="BF"/>
                                <w:sz w:val="18"/>
                                <w:szCs w:val="18"/>
                              </w:rPr>
                              <w:t>Fax</w:t>
                            </w:r>
                            <w:r>
                              <w:rPr>
                                <w:b/>
                                <w:color w:val="365F91" w:themeColor="accent1" w:themeShade="BF"/>
                                <w:sz w:val="18"/>
                                <w:szCs w:val="18"/>
                              </w:rPr>
                              <w:t>:</w:t>
                            </w:r>
                            <w:r w:rsidRPr="0013585E">
                              <w:rPr>
                                <w:b/>
                                <w:color w:val="365F91" w:themeColor="accent1" w:themeShade="BF"/>
                                <w:sz w:val="18"/>
                                <w:szCs w:val="18"/>
                              </w:rPr>
                              <w:t xml:space="preserve"> (207) 287-</w:t>
                            </w:r>
                            <w:r>
                              <w:rPr>
                                <w:b/>
                                <w:color w:val="365F91" w:themeColor="accent1" w:themeShade="BF"/>
                                <w:sz w:val="18"/>
                                <w:szCs w:val="18"/>
                              </w:rPr>
                              <w:t>5470</w:t>
                            </w:r>
                          </w:p>
                          <w:p w14:paraId="1DB036D4" w14:textId="77777777" w:rsidR="008349CD" w:rsidRPr="00287C76" w:rsidRDefault="008349CD" w:rsidP="008349CD">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BF814" id="_x0000_t202" coordsize="21600,21600" o:spt="202" path="m,l,21600r21600,l21600,xe">
                <v:stroke joinstyle="miter"/>
                <v:path gradientshapeok="t" o:connecttype="rect"/>
              </v:shapetype>
              <v:shape id="Text Box 2" o:spid="_x0000_s1026" type="#_x0000_t202" style="position:absolute;left:0;text-align:left;margin-left:267.6pt;margin-top:.6pt;width:231.95pt;height: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" stroked="f">
                <v:textbox>
                  <w:txbxContent>
                    <w:p w14:paraId="341C69ED" w14:textId="77777777" w:rsidR="008349CD" w:rsidRPr="0013585E" w:rsidRDefault="008349CD" w:rsidP="008349CD">
                      <w:pPr>
                        <w:jc w:val="right"/>
                        <w:rPr>
                          <w:b/>
                          <w:color w:val="365F91" w:themeColor="accent1" w:themeShade="BF"/>
                          <w:sz w:val="18"/>
                          <w:szCs w:val="18"/>
                        </w:rPr>
                      </w:pPr>
                      <w:r w:rsidRPr="0013585E">
                        <w:rPr>
                          <w:b/>
                          <w:color w:val="365F91" w:themeColor="accent1" w:themeShade="BF"/>
                          <w:sz w:val="18"/>
                          <w:szCs w:val="18"/>
                        </w:rPr>
                        <w:t>Maine Department of Health and Human Services</w:t>
                      </w:r>
                    </w:p>
                    <w:p w14:paraId="411879A5"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Maine Center for Disease Control and Prevention</w:t>
                      </w:r>
                    </w:p>
                    <w:p w14:paraId="62FF92E5"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11 State House Station</w:t>
                      </w:r>
                    </w:p>
                    <w:p w14:paraId="01B340E0" w14:textId="77777777" w:rsidR="008349CD" w:rsidRPr="003C0F8C" w:rsidRDefault="008349CD" w:rsidP="008349CD">
                      <w:pPr>
                        <w:jc w:val="right"/>
                        <w:rPr>
                          <w:b/>
                          <w:color w:val="365F91" w:themeColor="accent1" w:themeShade="BF"/>
                          <w:sz w:val="18"/>
                          <w:szCs w:val="18"/>
                        </w:rPr>
                      </w:pPr>
                      <w:r w:rsidRPr="003C0F8C">
                        <w:rPr>
                          <w:b/>
                          <w:color w:val="365F91" w:themeColor="accent1" w:themeShade="BF"/>
                          <w:sz w:val="18"/>
                          <w:szCs w:val="18"/>
                        </w:rPr>
                        <w:t>220 Capitol Street</w:t>
                      </w:r>
                    </w:p>
                    <w:p w14:paraId="54CC7125" w14:textId="77777777" w:rsidR="008349CD" w:rsidRPr="0013585E" w:rsidRDefault="008349CD" w:rsidP="008349CD">
                      <w:pPr>
                        <w:jc w:val="right"/>
                        <w:rPr>
                          <w:b/>
                          <w:color w:val="365F91" w:themeColor="accent1" w:themeShade="BF"/>
                          <w:sz w:val="18"/>
                          <w:szCs w:val="18"/>
                        </w:rPr>
                      </w:pPr>
                      <w:r w:rsidRPr="0013585E">
                        <w:rPr>
                          <w:b/>
                          <w:color w:val="365F91" w:themeColor="accent1" w:themeShade="BF"/>
                          <w:sz w:val="18"/>
                          <w:szCs w:val="18"/>
                        </w:rPr>
                        <w:t>Augusta, Maine 04333-0011</w:t>
                      </w:r>
                    </w:p>
                    <w:p w14:paraId="421D72E2" w14:textId="77777777" w:rsidR="008349CD" w:rsidRPr="0013585E" w:rsidRDefault="008349CD" w:rsidP="008349CD">
                      <w:pPr>
                        <w:jc w:val="right"/>
                        <w:rPr>
                          <w:b/>
                          <w:color w:val="365F91" w:themeColor="accent1" w:themeShade="BF"/>
                          <w:sz w:val="18"/>
                          <w:szCs w:val="18"/>
                        </w:rPr>
                      </w:pPr>
                      <w:r>
                        <w:rPr>
                          <w:b/>
                          <w:color w:val="365F91" w:themeColor="accent1" w:themeShade="BF"/>
                          <w:sz w:val="18"/>
                          <w:szCs w:val="18"/>
                        </w:rPr>
                        <w:t>Tel:</w:t>
                      </w:r>
                      <w:r w:rsidRPr="0013585E">
                        <w:rPr>
                          <w:b/>
                          <w:color w:val="365F91" w:themeColor="accent1" w:themeShade="BF"/>
                          <w:sz w:val="18"/>
                          <w:szCs w:val="18"/>
                        </w:rPr>
                        <w:t xml:space="preserve"> (207) 287-</w:t>
                      </w:r>
                      <w:r>
                        <w:rPr>
                          <w:b/>
                          <w:color w:val="365F91" w:themeColor="accent1" w:themeShade="BF"/>
                          <w:sz w:val="18"/>
                          <w:szCs w:val="18"/>
                        </w:rPr>
                        <w:t>5500</w:t>
                      </w:r>
                      <w:r w:rsidRPr="0013585E">
                        <w:rPr>
                          <w:b/>
                          <w:color w:val="365F91" w:themeColor="accent1" w:themeShade="BF"/>
                          <w:sz w:val="18"/>
                          <w:szCs w:val="18"/>
                        </w:rPr>
                        <w:t xml:space="preserve">; </w:t>
                      </w:r>
                      <w:r>
                        <w:rPr>
                          <w:b/>
                          <w:color w:val="365F91" w:themeColor="accent1" w:themeShade="BF"/>
                          <w:sz w:val="18"/>
                          <w:szCs w:val="18"/>
                        </w:rPr>
                        <w:t xml:space="preserve">Toll Free: (888) 664-9491     </w:t>
                      </w:r>
                    </w:p>
                    <w:p w14:paraId="7ECD1BCB" w14:textId="77777777" w:rsidR="008349CD" w:rsidRPr="0001689D" w:rsidRDefault="008349CD" w:rsidP="008349CD">
                      <w:pPr>
                        <w:jc w:val="right"/>
                        <w:rPr>
                          <w:b/>
                          <w:color w:val="365F91" w:themeColor="accent1" w:themeShade="BF"/>
                          <w:sz w:val="18"/>
                          <w:szCs w:val="18"/>
                        </w:rPr>
                      </w:pPr>
                      <w:r w:rsidRPr="0013585E">
                        <w:rPr>
                          <w:b/>
                          <w:color w:val="365F91" w:themeColor="accent1" w:themeShade="BF"/>
                          <w:sz w:val="18"/>
                          <w:szCs w:val="18"/>
                        </w:rPr>
                        <w:t>TTY: Dial 711 (Maine Relay)</w:t>
                      </w:r>
                      <w:r>
                        <w:rPr>
                          <w:b/>
                          <w:color w:val="365F91" w:themeColor="accent1" w:themeShade="BF"/>
                          <w:sz w:val="18"/>
                          <w:szCs w:val="18"/>
                        </w:rPr>
                        <w:t>;</w:t>
                      </w:r>
                      <w:r w:rsidRPr="0001689D">
                        <w:rPr>
                          <w:b/>
                          <w:color w:val="365F91" w:themeColor="accent1" w:themeShade="BF"/>
                          <w:sz w:val="18"/>
                          <w:szCs w:val="18"/>
                        </w:rPr>
                        <w:t xml:space="preserve"> </w:t>
                      </w:r>
                      <w:r w:rsidRPr="0013585E">
                        <w:rPr>
                          <w:b/>
                          <w:color w:val="365F91" w:themeColor="accent1" w:themeShade="BF"/>
                          <w:sz w:val="18"/>
                          <w:szCs w:val="18"/>
                        </w:rPr>
                        <w:t>Fax</w:t>
                      </w:r>
                      <w:r>
                        <w:rPr>
                          <w:b/>
                          <w:color w:val="365F91" w:themeColor="accent1" w:themeShade="BF"/>
                          <w:sz w:val="18"/>
                          <w:szCs w:val="18"/>
                        </w:rPr>
                        <w:t>:</w:t>
                      </w:r>
                      <w:r w:rsidRPr="0013585E">
                        <w:rPr>
                          <w:b/>
                          <w:color w:val="365F91" w:themeColor="accent1" w:themeShade="BF"/>
                          <w:sz w:val="18"/>
                          <w:szCs w:val="18"/>
                        </w:rPr>
                        <w:t xml:space="preserve"> (207) 287-</w:t>
                      </w:r>
                      <w:r>
                        <w:rPr>
                          <w:b/>
                          <w:color w:val="365F91" w:themeColor="accent1" w:themeShade="BF"/>
                          <w:sz w:val="18"/>
                          <w:szCs w:val="18"/>
                        </w:rPr>
                        <w:t>5470</w:t>
                      </w:r>
                    </w:p>
                    <w:p w14:paraId="1DB036D4" w14:textId="77777777" w:rsidR="008349CD" w:rsidRPr="00287C76" w:rsidRDefault="008349CD" w:rsidP="008349CD">
                      <w:pPr>
                        <w:jc w:val="right"/>
                        <w:rPr>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5FD8D5D4" wp14:editId="679CC3B7">
                <wp:simplePos x="0" y="0"/>
                <wp:positionH relativeFrom="margin">
                  <wp:posOffset>-213360</wp:posOffset>
                </wp:positionH>
                <wp:positionV relativeFrom="paragraph">
                  <wp:posOffset>464820</wp:posOffset>
                </wp:positionV>
                <wp:extent cx="1607820" cy="3683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8300"/>
                        </a:xfrm>
                        <a:prstGeom prst="rect">
                          <a:avLst/>
                        </a:prstGeom>
                        <a:solidFill>
                          <a:srgbClr val="FFFFFF"/>
                        </a:solidFill>
                        <a:ln w="9525">
                          <a:noFill/>
                          <a:miter lim="800000"/>
                          <a:headEnd/>
                          <a:tailEnd/>
                        </a:ln>
                      </wps:spPr>
                      <wps:txbx>
                        <w:txbxContent>
                          <w:p w14:paraId="49E47CAE" w14:textId="4883C8BB" w:rsidR="008349CD" w:rsidRPr="00287C76" w:rsidRDefault="007A6E6E" w:rsidP="008349CD">
                            <w:pPr>
                              <w:tabs>
                                <w:tab w:val="left" w:pos="7560"/>
                              </w:tabs>
                              <w:rPr>
                                <w:b/>
                                <w:color w:val="365F91" w:themeColor="accent1" w:themeShade="BF"/>
                                <w:sz w:val="18"/>
                                <w:szCs w:val="18"/>
                              </w:rPr>
                            </w:pPr>
                            <w:r>
                              <w:rPr>
                                <w:b/>
                                <w:color w:val="365F91" w:themeColor="accent1" w:themeShade="BF"/>
                                <w:sz w:val="18"/>
                                <w:szCs w:val="18"/>
                              </w:rPr>
                              <w:t xml:space="preserve">Sara </w:t>
                            </w:r>
                            <w:proofErr w:type="spellStart"/>
                            <w:r>
                              <w:rPr>
                                <w:b/>
                                <w:color w:val="365F91" w:themeColor="accent1" w:themeShade="BF"/>
                                <w:sz w:val="18"/>
                                <w:szCs w:val="18"/>
                              </w:rPr>
                              <w:t>Gagné</w:t>
                            </w:r>
                            <w:proofErr w:type="spellEnd"/>
                            <w:r>
                              <w:rPr>
                                <w:b/>
                                <w:color w:val="365F91" w:themeColor="accent1" w:themeShade="BF"/>
                                <w:sz w:val="18"/>
                                <w:szCs w:val="18"/>
                              </w:rPr>
                              <w:t>-Holmes</w:t>
                            </w:r>
                          </w:p>
                          <w:p w14:paraId="5D8FFF31" w14:textId="77777777" w:rsidR="008349CD" w:rsidRPr="00287C76" w:rsidRDefault="008349CD" w:rsidP="008349CD">
                            <w:pPr>
                              <w:tabs>
                                <w:tab w:val="left" w:pos="7560"/>
                              </w:tabs>
                              <w:rPr>
                                <w:sz w:val="18"/>
                                <w:szCs w:val="18"/>
                              </w:rPr>
                            </w:pPr>
                            <w:r w:rsidRPr="00287C76">
                              <w:rPr>
                                <w:b/>
                                <w:color w:val="365F91" w:themeColor="accent1" w:themeShade="BF"/>
                                <w:sz w:val="18"/>
                                <w:szCs w:val="18"/>
                              </w:rPr>
                              <w:t>Commissioner</w:t>
                            </w:r>
                          </w:p>
                          <w:p w14:paraId="783DEEC9" w14:textId="77777777" w:rsidR="008349CD" w:rsidRPr="00287C76" w:rsidRDefault="008349CD" w:rsidP="008349CD">
                            <w:pPr>
                              <w:tabs>
                                <w:tab w:val="left" w:pos="7560"/>
                              </w:tabs>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8D5D4" id="_x0000_t202" coordsize="21600,21600" o:spt="202" path="m,l,21600r21600,l21600,xe">
                <v:stroke joinstyle="miter"/>
                <v:path gradientshapeok="t" o:connecttype="rect"/>
              </v:shapetype>
              <v:shape id="_x0000_s1027" type="#_x0000_t202" style="position:absolute;left:0;text-align:left;margin-left:-16.8pt;margin-top:36.6pt;width:126.6pt;height: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" stroked="f">
                <v:textbox>
                  <w:txbxContent>
                    <w:p w14:paraId="49E47CAE" w14:textId="4883C8BB" w:rsidR="008349CD" w:rsidRPr="00287C76" w:rsidRDefault="007A6E6E" w:rsidP="008349CD">
                      <w:pPr>
                        <w:tabs>
                          <w:tab w:val="left" w:pos="7560"/>
                        </w:tabs>
                        <w:rPr>
                          <w:b/>
                          <w:color w:val="365F91" w:themeColor="accent1" w:themeShade="BF"/>
                          <w:sz w:val="18"/>
                          <w:szCs w:val="18"/>
                        </w:rPr>
                      </w:pPr>
                      <w:r>
                        <w:rPr>
                          <w:b/>
                          <w:color w:val="365F91" w:themeColor="accent1" w:themeShade="BF"/>
                          <w:sz w:val="18"/>
                          <w:szCs w:val="18"/>
                        </w:rPr>
                        <w:t xml:space="preserve">Sara </w:t>
                      </w:r>
                      <w:proofErr w:type="spellStart"/>
                      <w:r>
                        <w:rPr>
                          <w:b/>
                          <w:color w:val="365F91" w:themeColor="accent1" w:themeShade="BF"/>
                          <w:sz w:val="18"/>
                          <w:szCs w:val="18"/>
                        </w:rPr>
                        <w:t>Gagné</w:t>
                      </w:r>
                      <w:proofErr w:type="spellEnd"/>
                      <w:r>
                        <w:rPr>
                          <w:b/>
                          <w:color w:val="365F91" w:themeColor="accent1" w:themeShade="BF"/>
                          <w:sz w:val="18"/>
                          <w:szCs w:val="18"/>
                        </w:rPr>
                        <w:t>-Holmes</w:t>
                      </w:r>
                    </w:p>
                    <w:p w14:paraId="5D8FFF31" w14:textId="77777777" w:rsidR="008349CD" w:rsidRPr="00287C76" w:rsidRDefault="008349CD" w:rsidP="008349CD">
                      <w:pPr>
                        <w:tabs>
                          <w:tab w:val="left" w:pos="7560"/>
                        </w:tabs>
                        <w:rPr>
                          <w:sz w:val="18"/>
                          <w:szCs w:val="18"/>
                        </w:rPr>
                      </w:pPr>
                      <w:r w:rsidRPr="00287C76">
                        <w:rPr>
                          <w:b/>
                          <w:color w:val="365F91" w:themeColor="accent1" w:themeShade="BF"/>
                          <w:sz w:val="18"/>
                          <w:szCs w:val="18"/>
                        </w:rPr>
                        <w:t>Commissioner</w:t>
                      </w:r>
                    </w:p>
                    <w:p w14:paraId="783DEEC9" w14:textId="77777777" w:rsidR="008349CD" w:rsidRPr="00287C76" w:rsidRDefault="008349CD" w:rsidP="008349CD">
                      <w:pPr>
                        <w:tabs>
                          <w:tab w:val="left" w:pos="7560"/>
                        </w:tabs>
                        <w:rPr>
                          <w:sz w:val="18"/>
                          <w:szCs w:val="18"/>
                        </w:rPr>
                      </w:pPr>
                    </w:p>
                  </w:txbxContent>
                </v:textbox>
                <w10:wrap type="square" anchorx="margin"/>
              </v:shape>
            </w:pict>
          </mc:Fallback>
        </mc:AlternateContent>
      </w:r>
      <w:r w:rsidR="008349CD" w:rsidRPr="00B238B0">
        <w:rPr>
          <w:noProof/>
        </w:rPr>
        <w:drawing>
          <wp:inline distT="0" distB="0" distL="0" distR="0" wp14:anchorId="2B0337C9" wp14:editId="357FDD15">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0288" behindDoc="0" locked="0" layoutInCell="1" allowOverlap="1" wp14:anchorId="7E85FF51" wp14:editId="4B949D85">
                <wp:simplePos x="0" y="0"/>
                <wp:positionH relativeFrom="margin">
                  <wp:posOffset>-198755</wp:posOffset>
                </wp:positionH>
                <wp:positionV relativeFrom="paragraph">
                  <wp:posOffset>41910</wp:posOffset>
                </wp:positionV>
                <wp:extent cx="1124585" cy="3683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14B7F18F" w14:textId="77777777" w:rsidR="008349CD" w:rsidRPr="00287C76" w:rsidRDefault="008349CD" w:rsidP="008349CD">
                            <w:pPr>
                              <w:rPr>
                                <w:b/>
                                <w:color w:val="365F91" w:themeColor="accent1" w:themeShade="BF"/>
                                <w:sz w:val="18"/>
                                <w:szCs w:val="18"/>
                              </w:rPr>
                            </w:pPr>
                            <w:r>
                              <w:rPr>
                                <w:b/>
                                <w:color w:val="365F91" w:themeColor="accent1" w:themeShade="BF"/>
                                <w:sz w:val="18"/>
                                <w:szCs w:val="18"/>
                              </w:rPr>
                              <w:t>Janet T. Mills</w:t>
                            </w:r>
                          </w:p>
                          <w:p w14:paraId="6FBAB983" w14:textId="77777777" w:rsidR="008349CD" w:rsidRPr="00287C76" w:rsidRDefault="008349CD" w:rsidP="008349CD">
                            <w:pPr>
                              <w:rPr>
                                <w:b/>
                                <w:color w:val="365F91" w:themeColor="accent1" w:themeShade="BF"/>
                                <w:sz w:val="18"/>
                                <w:szCs w:val="18"/>
                              </w:rPr>
                            </w:pPr>
                            <w:r w:rsidRPr="00287C76">
                              <w:rPr>
                                <w:b/>
                                <w:color w:val="365F91" w:themeColor="accent1" w:themeShade="BF"/>
                                <w:sz w:val="18"/>
                                <w:szCs w:val="18"/>
                              </w:rPr>
                              <w:t>Governor</w:t>
                            </w:r>
                          </w:p>
                          <w:p w14:paraId="696BCA21" w14:textId="77777777" w:rsidR="008349CD" w:rsidRDefault="008349CD" w:rsidP="008349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5FF51" id="_x0000_s1028" type="#_x0000_t202" style="position:absolute;left:0;text-align:left;margin-left:-15.65pt;margin-top:3.3pt;width:88.55pt;height: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" stroked="f">
                <v:textbox>
                  <w:txbxContent>
                    <w:p w14:paraId="14B7F18F" w14:textId="77777777" w:rsidR="008349CD" w:rsidRPr="00287C76" w:rsidRDefault="008349CD" w:rsidP="008349CD">
                      <w:pPr>
                        <w:rPr>
                          <w:b/>
                          <w:color w:val="365F91" w:themeColor="accent1" w:themeShade="BF"/>
                          <w:sz w:val="18"/>
                          <w:szCs w:val="18"/>
                        </w:rPr>
                      </w:pPr>
                      <w:r>
                        <w:rPr>
                          <w:b/>
                          <w:color w:val="365F91" w:themeColor="accent1" w:themeShade="BF"/>
                          <w:sz w:val="18"/>
                          <w:szCs w:val="18"/>
                        </w:rPr>
                        <w:t>Janet T. Mills</w:t>
                      </w:r>
                    </w:p>
                    <w:p w14:paraId="6FBAB983" w14:textId="77777777" w:rsidR="008349CD" w:rsidRPr="00287C76" w:rsidRDefault="008349CD" w:rsidP="008349CD">
                      <w:pPr>
                        <w:rPr>
                          <w:b/>
                          <w:color w:val="365F91" w:themeColor="accent1" w:themeShade="BF"/>
                          <w:sz w:val="18"/>
                          <w:szCs w:val="18"/>
                        </w:rPr>
                      </w:pPr>
                      <w:r w:rsidRPr="00287C76">
                        <w:rPr>
                          <w:b/>
                          <w:color w:val="365F91" w:themeColor="accent1" w:themeShade="BF"/>
                          <w:sz w:val="18"/>
                          <w:szCs w:val="18"/>
                        </w:rPr>
                        <w:t>Governor</w:t>
                      </w:r>
                    </w:p>
                    <w:p w14:paraId="696BCA21" w14:textId="77777777" w:rsidR="008349CD" w:rsidRDefault="008349CD" w:rsidP="008349CD"/>
                  </w:txbxContent>
                </v:textbox>
                <w10:wrap type="square" anchorx="margin"/>
              </v:shape>
            </w:pict>
          </mc:Fallback>
        </mc:AlternateContent>
      </w:r>
    </w:p>
    <w:p w14:paraId="3D0C82AF" w14:textId="77777777" w:rsidR="008349CD" w:rsidRDefault="008349CD" w:rsidP="008349CD">
      <w:pPr>
        <w:jc w:val="right"/>
        <w:rPr>
          <w:sz w:val="18"/>
          <w:szCs w:val="18"/>
        </w:rPr>
      </w:pPr>
    </w:p>
    <w:p w14:paraId="23FE38BC" w14:textId="77777777" w:rsidR="008349CD" w:rsidRDefault="008349CD" w:rsidP="008349CD">
      <w:pPr>
        <w:tabs>
          <w:tab w:val="left" w:pos="7560"/>
        </w:tabs>
        <w:rPr>
          <w:b/>
          <w:color w:val="365F91" w:themeColor="accent1" w:themeShade="BF"/>
          <w:sz w:val="16"/>
        </w:rPr>
      </w:pPr>
    </w:p>
    <w:p w14:paraId="6AD350DF" w14:textId="77777777" w:rsidR="00CE52B1" w:rsidRDefault="00CE52B1">
      <w:pPr>
        <w:pStyle w:val="BodyText"/>
        <w:ind w:left="100"/>
        <w:rPr>
          <w:sz w:val="20"/>
        </w:rPr>
      </w:pPr>
    </w:p>
    <w:p w14:paraId="47D26D47" w14:textId="77777777" w:rsidR="00CE52B1" w:rsidRDefault="00CE52B1">
      <w:pPr>
        <w:pStyle w:val="BodyText"/>
        <w:rPr>
          <w:sz w:val="20"/>
        </w:rPr>
      </w:pPr>
    </w:p>
    <w:p w14:paraId="00F1D645" w14:textId="77777777" w:rsidR="00CE52B1" w:rsidRDefault="00CE52B1">
      <w:pPr>
        <w:pStyle w:val="BodyText"/>
        <w:rPr>
          <w:sz w:val="18"/>
        </w:rPr>
      </w:pPr>
    </w:p>
    <w:p w14:paraId="58B5BFD9" w14:textId="77777777" w:rsidR="00CE52B1" w:rsidRDefault="008349CD" w:rsidP="007A6E6E">
      <w:pPr>
        <w:pStyle w:val="Heading1"/>
        <w:spacing w:before="90"/>
      </w:pPr>
      <w:r>
        <w:t>Death with Dignity</w:t>
      </w:r>
      <w:r w:rsidR="004F44F9">
        <w:t xml:space="preserve"> Frequently Asked Questions</w:t>
      </w:r>
    </w:p>
    <w:p w14:paraId="4F8DDD2C" w14:textId="77777777" w:rsidR="00CE52B1" w:rsidRDefault="00CE52B1">
      <w:pPr>
        <w:pStyle w:val="BodyText"/>
        <w:spacing w:before="1"/>
        <w:rPr>
          <w:b/>
          <w:sz w:val="21"/>
        </w:rPr>
      </w:pPr>
    </w:p>
    <w:p w14:paraId="106AB129" w14:textId="77777777" w:rsidR="00CE52B1" w:rsidRDefault="004F44F9" w:rsidP="007A6E6E">
      <w:pPr>
        <w:rPr>
          <w:i/>
          <w:sz w:val="24"/>
        </w:rPr>
      </w:pPr>
      <w:r>
        <w:rPr>
          <w:i/>
          <w:sz w:val="24"/>
        </w:rPr>
        <w:t>We recommend reading all the questions and answers.</w:t>
      </w:r>
    </w:p>
    <w:p w14:paraId="681B3301" w14:textId="77777777" w:rsidR="00CE52B1" w:rsidRDefault="00CE52B1">
      <w:pPr>
        <w:pStyle w:val="BodyText"/>
        <w:spacing w:before="1"/>
        <w:rPr>
          <w:i/>
          <w:sz w:val="21"/>
        </w:rPr>
      </w:pPr>
    </w:p>
    <w:p w14:paraId="7680A7A5" w14:textId="77777777" w:rsidR="00CE52B1" w:rsidRDefault="004F44F9" w:rsidP="007A6E6E">
      <w:pPr>
        <w:spacing w:line="276" w:lineRule="auto"/>
        <w:ind w:right="456"/>
        <w:rPr>
          <w:i/>
          <w:sz w:val="24"/>
        </w:rPr>
      </w:pPr>
      <w:r>
        <w:rPr>
          <w:i/>
          <w:sz w:val="24"/>
        </w:rPr>
        <w:t>This information is provided as a courtesy and not intended as legal advice. Consult your physician and attorney.</w:t>
      </w:r>
    </w:p>
    <w:p w14:paraId="40AC4F91" w14:textId="77777777" w:rsidR="00CE52B1" w:rsidRDefault="00CE52B1">
      <w:pPr>
        <w:pStyle w:val="BodyText"/>
        <w:rPr>
          <w:i/>
          <w:sz w:val="26"/>
        </w:rPr>
      </w:pPr>
    </w:p>
    <w:p w14:paraId="2D75336F" w14:textId="77777777" w:rsidR="00CE52B1" w:rsidRDefault="004F44F9">
      <w:pPr>
        <w:pStyle w:val="Heading1"/>
        <w:spacing w:before="218"/>
      </w:pPr>
      <w:r>
        <w:t xml:space="preserve">What is </w:t>
      </w:r>
      <w:r w:rsidR="008349CD">
        <w:t>the Death with Dignity act</w:t>
      </w:r>
      <w:r>
        <w:t>?</w:t>
      </w:r>
    </w:p>
    <w:p w14:paraId="0443074A" w14:textId="77777777" w:rsidR="00CE52B1" w:rsidRDefault="00CE52B1">
      <w:pPr>
        <w:pStyle w:val="BodyText"/>
        <w:spacing w:before="1"/>
        <w:rPr>
          <w:b/>
        </w:rPr>
      </w:pPr>
    </w:p>
    <w:p w14:paraId="1A7B4CD2" w14:textId="77777777" w:rsidR="00CE52B1" w:rsidRDefault="004F44F9">
      <w:pPr>
        <w:pStyle w:val="BodyText"/>
        <w:ind w:left="100" w:right="193"/>
        <w:jc w:val="both"/>
      </w:pPr>
      <w:r>
        <w:t xml:space="preserve">The </w:t>
      </w:r>
      <w:r w:rsidR="008349CD">
        <w:t>Maine Death with Dignity Act</w:t>
      </w:r>
      <w:r>
        <w:t xml:space="preserve">, provides eligible </w:t>
      </w:r>
      <w:r w:rsidR="008349CD">
        <w:t>Maine</w:t>
      </w:r>
      <w:r>
        <w:t xml:space="preserve"> residents with terminal diseases the option to be prescribed a dose of medication that, if taken, will hasten the end of their life. This option requires the participation of a </w:t>
      </w:r>
      <w:r w:rsidR="008349CD">
        <w:t>Maine</w:t>
      </w:r>
      <w:r>
        <w:t>-licensed physician.</w:t>
      </w:r>
    </w:p>
    <w:p w14:paraId="073ECAD7" w14:textId="77777777" w:rsidR="00CE52B1" w:rsidRDefault="00CE52B1">
      <w:pPr>
        <w:pStyle w:val="BodyText"/>
      </w:pPr>
    </w:p>
    <w:p w14:paraId="0EF85693" w14:textId="77777777" w:rsidR="00CE52B1" w:rsidRDefault="004F44F9">
      <w:pPr>
        <w:pStyle w:val="Heading1"/>
      </w:pPr>
      <w:r>
        <w:t>Who is eligible to participate?</w:t>
      </w:r>
    </w:p>
    <w:p w14:paraId="681E0F48" w14:textId="77777777" w:rsidR="00CE52B1" w:rsidRDefault="00CE52B1">
      <w:pPr>
        <w:pStyle w:val="BodyText"/>
        <w:rPr>
          <w:b/>
        </w:rPr>
      </w:pPr>
    </w:p>
    <w:p w14:paraId="643D1ABD" w14:textId="77777777" w:rsidR="00CE52B1" w:rsidRDefault="008349CD">
      <w:pPr>
        <w:pStyle w:val="BodyText"/>
        <w:spacing w:line="276" w:lineRule="auto"/>
        <w:ind w:left="100" w:right="149"/>
      </w:pPr>
      <w:r>
        <w:t xml:space="preserve">Maine </w:t>
      </w:r>
      <w:r w:rsidR="004F44F9">
        <w:t>residents who are suffering from an incurable and irreversible disease that would, within reasonable medical judgment, result in death within six months. The patient must be capable of making a voluntary, informed health care decision, and can self-administer the prescribed dose</w:t>
      </w:r>
      <w:r w:rsidR="001537F7">
        <w:t>.</w:t>
      </w:r>
    </w:p>
    <w:p w14:paraId="1737BFD8" w14:textId="77777777" w:rsidR="001537F7" w:rsidRDefault="001537F7">
      <w:pPr>
        <w:pStyle w:val="BodyText"/>
        <w:spacing w:line="276" w:lineRule="auto"/>
        <w:ind w:left="100" w:right="149"/>
        <w:rPr>
          <w:i/>
        </w:rPr>
      </w:pPr>
      <w:hyperlink r:id="rId5" w:history="1">
        <w:r w:rsidRPr="001537F7">
          <w:rPr>
            <w:rStyle w:val="Hyperlink"/>
            <w:i/>
          </w:rPr>
          <w:t>See the text of the law for more detail</w:t>
        </w:r>
      </w:hyperlink>
    </w:p>
    <w:p w14:paraId="50C78C9F" w14:textId="77777777" w:rsidR="001537F7" w:rsidRDefault="001537F7">
      <w:pPr>
        <w:pStyle w:val="BodyText"/>
        <w:spacing w:line="276" w:lineRule="auto"/>
        <w:ind w:left="100" w:right="149"/>
        <w:rPr>
          <w:i/>
        </w:rPr>
      </w:pPr>
    </w:p>
    <w:p w14:paraId="126A90B9" w14:textId="77777777" w:rsidR="00CE52B1" w:rsidRDefault="00CE52B1">
      <w:pPr>
        <w:pStyle w:val="BodyText"/>
        <w:spacing w:before="2"/>
        <w:rPr>
          <w:i/>
          <w:sz w:val="16"/>
        </w:rPr>
      </w:pPr>
    </w:p>
    <w:p w14:paraId="1D3EBE55" w14:textId="77777777" w:rsidR="00CE52B1" w:rsidRDefault="004F44F9">
      <w:pPr>
        <w:pStyle w:val="Heading1"/>
        <w:spacing w:before="90"/>
      </w:pPr>
      <w:r>
        <w:t>How does the law work?</w:t>
      </w:r>
    </w:p>
    <w:p w14:paraId="0B189468" w14:textId="77777777" w:rsidR="00CE52B1" w:rsidRDefault="00CE52B1">
      <w:pPr>
        <w:pStyle w:val="BodyText"/>
        <w:rPr>
          <w:b/>
        </w:rPr>
      </w:pPr>
    </w:p>
    <w:p w14:paraId="4901FEDF" w14:textId="77777777" w:rsidR="00CE52B1" w:rsidRDefault="004F44F9">
      <w:pPr>
        <w:pStyle w:val="BodyText"/>
        <w:spacing w:line="276" w:lineRule="auto"/>
        <w:ind w:left="100" w:right="114"/>
        <w:rPr>
          <w:i/>
        </w:rPr>
      </w:pPr>
      <w:r>
        <w:t>The Act lays out a step-by-step process for a patient and doctor to follow. It begins with a diagnoses and prognosis of a terminal and incurable illness that will, within medical judgment, take place within six months. Once that determination has been made, a patient may make an oral request of his or her physician to be prescribed a dose of medication that, if taken, would hasten death. The process requires, among other things, both oral and written requests,</w:t>
      </w:r>
      <w:r>
        <w:rPr>
          <w:spacing w:val="-14"/>
        </w:rPr>
        <w:t xml:space="preserve"> </w:t>
      </w:r>
      <w:r>
        <w:t xml:space="preserve">witnesses, and the second opinion of a physician. Every step must be voluntary by both the patient and the physician. </w:t>
      </w:r>
    </w:p>
    <w:p w14:paraId="6C9B877A" w14:textId="77777777" w:rsidR="00CE52B1" w:rsidRDefault="00CE52B1">
      <w:pPr>
        <w:pStyle w:val="BodyText"/>
        <w:spacing w:before="1"/>
        <w:rPr>
          <w:i/>
          <w:sz w:val="16"/>
        </w:rPr>
      </w:pPr>
    </w:p>
    <w:p w14:paraId="25A944B0" w14:textId="77777777" w:rsidR="00CE52B1" w:rsidRDefault="004F44F9">
      <w:pPr>
        <w:pStyle w:val="Heading1"/>
        <w:spacing w:before="90"/>
      </w:pPr>
      <w:r>
        <w:t xml:space="preserve">What makes someone a </w:t>
      </w:r>
      <w:r w:rsidR="00A8710F">
        <w:t>Maine</w:t>
      </w:r>
      <w:r>
        <w:t xml:space="preserve"> resident?</w:t>
      </w:r>
    </w:p>
    <w:p w14:paraId="69BCE708" w14:textId="77777777" w:rsidR="00CE52B1" w:rsidRDefault="00CE52B1">
      <w:pPr>
        <w:pStyle w:val="BodyText"/>
        <w:rPr>
          <w:b/>
        </w:rPr>
      </w:pPr>
    </w:p>
    <w:p w14:paraId="0EF8089C" w14:textId="77777777" w:rsidR="00CE52B1" w:rsidRDefault="004F44F9">
      <w:pPr>
        <w:pStyle w:val="BodyText"/>
        <w:spacing w:line="276" w:lineRule="auto"/>
        <w:ind w:left="100" w:right="149"/>
      </w:pPr>
      <w:r>
        <w:t xml:space="preserve">The Act does not specify what qualifies a person as a resident: it is up to the patient’s physician to make that determination. Factors demonstrating residency include but are not limited to 1) Possession of a </w:t>
      </w:r>
      <w:r w:rsidR="00A8710F">
        <w:t>Maine</w:t>
      </w:r>
      <w:r>
        <w:t xml:space="preserve"> driver’s license; 2) Registration to vote in </w:t>
      </w:r>
      <w:r w:rsidR="00A8710F">
        <w:t>Maine</w:t>
      </w:r>
      <w:r>
        <w:t xml:space="preserve">; 3) Evidence that a person leases/owns property in </w:t>
      </w:r>
      <w:r w:rsidR="00A8710F">
        <w:t>Maine</w:t>
      </w:r>
      <w:r>
        <w:t xml:space="preserve">; or 4) Filing of a </w:t>
      </w:r>
      <w:r w:rsidR="00A8710F">
        <w:t>Maine</w:t>
      </w:r>
      <w:r>
        <w:t xml:space="preserve"> tax return for the most recent tax year.</w:t>
      </w:r>
    </w:p>
    <w:p w14:paraId="5C6EEEF5" w14:textId="77777777" w:rsidR="00CE52B1" w:rsidRDefault="00CE52B1">
      <w:pPr>
        <w:spacing w:line="276" w:lineRule="auto"/>
        <w:sectPr w:rsidR="00CE52B1">
          <w:type w:val="continuous"/>
          <w:pgSz w:w="12240" w:h="15840"/>
          <w:pgMar w:top="1440" w:right="1340" w:bottom="280" w:left="1340" w:header="720" w:footer="720" w:gutter="0"/>
          <w:cols w:space="720"/>
        </w:sectPr>
      </w:pPr>
    </w:p>
    <w:p w14:paraId="26D2263D" w14:textId="77777777" w:rsidR="00CE52B1" w:rsidRDefault="004F44F9">
      <w:pPr>
        <w:pStyle w:val="Heading1"/>
        <w:spacing w:before="79"/>
      </w:pPr>
      <w:r>
        <w:lastRenderedPageBreak/>
        <w:t>Is there a standard form for the written request?</w:t>
      </w:r>
    </w:p>
    <w:p w14:paraId="6711C7F3" w14:textId="77777777" w:rsidR="00CE52B1" w:rsidRDefault="00CE52B1">
      <w:pPr>
        <w:pStyle w:val="BodyText"/>
        <w:spacing w:before="1"/>
        <w:rPr>
          <w:b/>
          <w:sz w:val="21"/>
        </w:rPr>
      </w:pPr>
    </w:p>
    <w:p w14:paraId="3030B4A8" w14:textId="77777777" w:rsidR="00CE52B1" w:rsidRDefault="00A8710F">
      <w:pPr>
        <w:pStyle w:val="BodyText"/>
        <w:spacing w:line="276" w:lineRule="auto"/>
        <w:ind w:left="100" w:right="135"/>
      </w:pPr>
      <w:r>
        <w:t>There is a Patient Request for End-of-Life Care Medication form. You can get that form from your doctor or at the Department of Health and Human Service website</w:t>
      </w:r>
      <w:r w:rsidR="002F00BC">
        <w:t xml:space="preserve"> below.</w:t>
      </w:r>
    </w:p>
    <w:p w14:paraId="578F62C7" w14:textId="77777777" w:rsidR="00CE52B1" w:rsidRDefault="00CE52B1">
      <w:pPr>
        <w:pStyle w:val="BodyText"/>
        <w:spacing w:before="6"/>
        <w:rPr>
          <w:sz w:val="27"/>
        </w:rPr>
      </w:pPr>
    </w:p>
    <w:p w14:paraId="32CD4CA7" w14:textId="77777777" w:rsidR="00CE52B1" w:rsidRDefault="002F00BC">
      <w:pPr>
        <w:pStyle w:val="BodyText"/>
        <w:spacing w:before="1"/>
        <w:rPr>
          <w:color w:val="0000FF"/>
          <w:sz w:val="22"/>
          <w:szCs w:val="22"/>
          <w:u w:val="single" w:color="0000FF"/>
        </w:rPr>
      </w:pPr>
      <w:hyperlink r:id="rId6" w:history="1">
        <w:r w:rsidRPr="009E20B2">
          <w:rPr>
            <w:rStyle w:val="Hyperlink"/>
            <w:sz w:val="22"/>
            <w:szCs w:val="22"/>
          </w:rPr>
          <w:t>http://www.maine.gov/dhhs/mecdc/public-health-systems/data-research/vital-records/forms/index.shtml</w:t>
        </w:r>
      </w:hyperlink>
    </w:p>
    <w:p w14:paraId="09026CC7" w14:textId="77777777" w:rsidR="002F00BC" w:rsidRDefault="002F00BC">
      <w:pPr>
        <w:pStyle w:val="BodyText"/>
        <w:spacing w:before="1"/>
        <w:rPr>
          <w:sz w:val="16"/>
        </w:rPr>
      </w:pPr>
    </w:p>
    <w:p w14:paraId="3D13B40F" w14:textId="77777777" w:rsidR="00CE52B1" w:rsidRDefault="004F44F9">
      <w:pPr>
        <w:pStyle w:val="Heading1"/>
        <w:spacing w:before="90"/>
      </w:pPr>
      <w:r>
        <w:t>What does a patient do if he or she chooses not to use the prescribed dose?</w:t>
      </w:r>
    </w:p>
    <w:p w14:paraId="37EF6BE8" w14:textId="77777777" w:rsidR="00CE52B1" w:rsidRDefault="00CE52B1">
      <w:pPr>
        <w:pStyle w:val="BodyText"/>
        <w:spacing w:before="1"/>
        <w:rPr>
          <w:b/>
          <w:sz w:val="31"/>
        </w:rPr>
      </w:pPr>
    </w:p>
    <w:p w14:paraId="770B6F8E" w14:textId="77777777" w:rsidR="00CE52B1" w:rsidRDefault="002F00BC">
      <w:pPr>
        <w:pStyle w:val="BodyText"/>
        <w:spacing w:line="276" w:lineRule="auto"/>
        <w:ind w:left="100" w:right="216"/>
      </w:pPr>
      <w:r>
        <w:t>Patients may choose to rescind their request at any time. If the medication has been dispensed and the patient chooses not to use the medication, it should be delivered in person to a facility qualified to dispose of controlled substance. C</w:t>
      </w:r>
      <w:r w:rsidR="004F44F9">
        <w:t>onsult your pharmacist for information</w:t>
      </w:r>
      <w:r>
        <w:t xml:space="preserve"> about disposal facilities.</w:t>
      </w:r>
    </w:p>
    <w:p w14:paraId="0CC39758" w14:textId="77777777" w:rsidR="00CE52B1" w:rsidRDefault="00CE52B1">
      <w:pPr>
        <w:pStyle w:val="BodyText"/>
        <w:spacing w:before="8"/>
        <w:rPr>
          <w:sz w:val="27"/>
        </w:rPr>
      </w:pPr>
    </w:p>
    <w:p w14:paraId="4691CF14" w14:textId="77777777" w:rsidR="00CE52B1" w:rsidRDefault="004F44F9">
      <w:pPr>
        <w:pStyle w:val="Heading1"/>
        <w:spacing w:before="90"/>
      </w:pPr>
      <w:r>
        <w:t>Are all doctors, nurses and pharmacists required to participate?</w:t>
      </w:r>
    </w:p>
    <w:p w14:paraId="62C21060" w14:textId="77777777" w:rsidR="00CE52B1" w:rsidRDefault="004F44F9">
      <w:pPr>
        <w:pStyle w:val="BodyText"/>
        <w:spacing w:before="199"/>
        <w:ind w:left="100"/>
      </w:pPr>
      <w:r>
        <w:t>No. Participation by any health care professional is completely voluntary.</w:t>
      </w:r>
    </w:p>
    <w:p w14:paraId="49FB121C" w14:textId="77777777" w:rsidR="00CE52B1" w:rsidRDefault="00CE52B1">
      <w:pPr>
        <w:pStyle w:val="BodyText"/>
      </w:pPr>
    </w:p>
    <w:p w14:paraId="3FF290D7" w14:textId="77777777" w:rsidR="00CE52B1" w:rsidRDefault="004F44F9">
      <w:pPr>
        <w:pStyle w:val="Heading1"/>
      </w:pPr>
      <w:r>
        <w:t>Are doctors required to tell patients about this medical aid in dying?</w:t>
      </w:r>
    </w:p>
    <w:p w14:paraId="57AB6BAF" w14:textId="77777777" w:rsidR="00CE52B1" w:rsidRDefault="00CE52B1">
      <w:pPr>
        <w:pStyle w:val="BodyText"/>
        <w:rPr>
          <w:b/>
          <w:sz w:val="26"/>
        </w:rPr>
      </w:pPr>
    </w:p>
    <w:p w14:paraId="664F01C6" w14:textId="77777777" w:rsidR="00CE52B1" w:rsidRDefault="004F44F9">
      <w:pPr>
        <w:pStyle w:val="BodyText"/>
        <w:spacing w:before="176" w:line="276" w:lineRule="auto"/>
        <w:ind w:left="100" w:right="113"/>
        <w:jc w:val="both"/>
      </w:pPr>
      <w:r>
        <w:t xml:space="preserve">Patients have a right to receive relevant information </w:t>
      </w:r>
      <w:r w:rsidR="007D4DFD">
        <w:t>regarding all treatment options reasonably available for the care of the patient.</w:t>
      </w:r>
      <w:r>
        <w:t xml:space="preserve"> A doctor may choose not to participate in the </w:t>
      </w:r>
      <w:proofErr w:type="gramStart"/>
      <w:r>
        <w:t xml:space="preserve">Act </w:t>
      </w:r>
      <w:r w:rsidR="007D4DFD">
        <w:t>.</w:t>
      </w:r>
      <w:proofErr w:type="gramEnd"/>
      <w:r w:rsidR="007D4DFD">
        <w:t xml:space="preserve"> If they are unable or unwilling to carry out a qualified</w:t>
      </w:r>
      <w:r w:rsidR="00F22ED4">
        <w:t xml:space="preserve"> </w:t>
      </w:r>
      <w:proofErr w:type="gramStart"/>
      <w:r w:rsidR="007D4DFD">
        <w:t>patients</w:t>
      </w:r>
      <w:proofErr w:type="gramEnd"/>
      <w:r w:rsidR="007D4DFD">
        <w:t xml:space="preserve"> request</w:t>
      </w:r>
      <w:r w:rsidR="00172FE7">
        <w:t xml:space="preserve">, </w:t>
      </w:r>
      <w:r w:rsidR="006D52DE">
        <w:t>they will transfer any relevant medical records for the patient to a new physician if the patient requests.</w:t>
      </w:r>
    </w:p>
    <w:p w14:paraId="0003E3AC" w14:textId="77777777" w:rsidR="00CE52B1" w:rsidRDefault="004F44F9">
      <w:pPr>
        <w:pStyle w:val="Heading1"/>
        <w:spacing w:before="201"/>
      </w:pPr>
      <w:r>
        <w:t>How do you know if your doctor will participate?</w:t>
      </w:r>
    </w:p>
    <w:p w14:paraId="3041EFB0" w14:textId="77777777" w:rsidR="00CE52B1" w:rsidRDefault="00CE52B1">
      <w:pPr>
        <w:pStyle w:val="BodyText"/>
        <w:spacing w:before="11"/>
        <w:rPr>
          <w:b/>
          <w:sz w:val="23"/>
        </w:rPr>
      </w:pPr>
    </w:p>
    <w:p w14:paraId="6C95013D" w14:textId="77777777" w:rsidR="00CE52B1" w:rsidRDefault="004F44F9">
      <w:pPr>
        <w:pStyle w:val="BodyText"/>
        <w:ind w:left="100" w:right="169"/>
      </w:pPr>
      <w:r>
        <w:t xml:space="preserve">Make an appointment to talk to your doctor about your end-of-life goals and concerns, including the </w:t>
      </w:r>
      <w:r w:rsidR="006D52DE">
        <w:t>Death with Dignity option. During your visit the physician will provide you will all the information you need to make an informed decision.</w:t>
      </w:r>
    </w:p>
    <w:p w14:paraId="2B5D61B5" w14:textId="77777777" w:rsidR="00CE52B1" w:rsidRDefault="00CE52B1">
      <w:pPr>
        <w:pStyle w:val="BodyText"/>
      </w:pPr>
    </w:p>
    <w:p w14:paraId="387A2536" w14:textId="77777777" w:rsidR="00CE52B1" w:rsidRDefault="004F44F9">
      <w:pPr>
        <w:pStyle w:val="Heading1"/>
      </w:pPr>
      <w:r>
        <w:t>Who will be providing accountability and oversight for implementation of Act</w:t>
      </w:r>
      <w:r w:rsidR="00F22ED4">
        <w:t>?</w:t>
      </w:r>
    </w:p>
    <w:p w14:paraId="40F254E5" w14:textId="77777777" w:rsidR="00CE52B1" w:rsidRDefault="00CE52B1">
      <w:pPr>
        <w:pStyle w:val="BodyText"/>
        <w:spacing w:before="1"/>
        <w:rPr>
          <w:b/>
        </w:rPr>
      </w:pPr>
    </w:p>
    <w:p w14:paraId="2BAFAB96" w14:textId="77777777" w:rsidR="00CE52B1" w:rsidRDefault="004F44F9">
      <w:pPr>
        <w:pStyle w:val="BodyText"/>
        <w:ind w:left="100" w:right="82"/>
      </w:pPr>
      <w:r>
        <w:t xml:space="preserve">The legislature did not vest any government Agency with oversight of the Act. The Department of Health </w:t>
      </w:r>
      <w:r w:rsidR="00F22ED4">
        <w:t xml:space="preserve">and Human Services </w:t>
      </w:r>
      <w:r>
        <w:t xml:space="preserve">is charged with collecting forms provided by participating physicians. Alleged </w:t>
      </w:r>
      <w:proofErr w:type="gramStart"/>
      <w:r>
        <w:t>abuses</w:t>
      </w:r>
      <w:proofErr w:type="gramEnd"/>
      <w:r>
        <w:t xml:space="preserve"> under the law would be investigated by the relevant licensing </w:t>
      </w:r>
      <w:proofErr w:type="gramStart"/>
      <w:r>
        <w:t>board,  and</w:t>
      </w:r>
      <w:proofErr w:type="gramEnd"/>
      <w:r>
        <w:t xml:space="preserve">/or the </w:t>
      </w:r>
      <w:r w:rsidR="00A8710F">
        <w:t>Maine</w:t>
      </w:r>
      <w:r>
        <w:t xml:space="preserve"> Attorney General’s Office.</w:t>
      </w:r>
    </w:p>
    <w:p w14:paraId="0D565D88" w14:textId="77777777" w:rsidR="00CE52B1" w:rsidRDefault="00CE52B1">
      <w:pPr>
        <w:pStyle w:val="BodyText"/>
      </w:pPr>
    </w:p>
    <w:p w14:paraId="454EDB2F" w14:textId="77777777" w:rsidR="00F22ED4" w:rsidRDefault="00F22ED4">
      <w:pPr>
        <w:rPr>
          <w:b/>
          <w:bCs/>
          <w:sz w:val="24"/>
          <w:szCs w:val="24"/>
        </w:rPr>
      </w:pPr>
      <w:r>
        <w:br w:type="page"/>
      </w:r>
    </w:p>
    <w:p w14:paraId="7D3B7D6D" w14:textId="77777777" w:rsidR="00CE52B1" w:rsidRDefault="004F44F9">
      <w:pPr>
        <w:pStyle w:val="Heading1"/>
      </w:pPr>
      <w:r>
        <w:lastRenderedPageBreak/>
        <w:t>How will this impact life insurance policies?</w:t>
      </w:r>
    </w:p>
    <w:p w14:paraId="6E47B941" w14:textId="77777777" w:rsidR="00CE52B1" w:rsidRDefault="001537F7">
      <w:pPr>
        <w:pStyle w:val="BodyText"/>
        <w:spacing w:before="79"/>
        <w:ind w:left="100"/>
      </w:pPr>
      <w:proofErr w:type="gramStart"/>
      <w:r>
        <w:t>The  Act</w:t>
      </w:r>
      <w:proofErr w:type="gramEnd"/>
      <w:r w:rsidR="004F44F9">
        <w:t xml:space="preserve"> prohibits a life insurance company from denying benefits to individuals who act in accordance with </w:t>
      </w:r>
      <w:proofErr w:type="gramStart"/>
      <w:r w:rsidR="004F44F9">
        <w:t>Act</w:t>
      </w:r>
      <w:proofErr w:type="gramEnd"/>
      <w:r w:rsidR="004F44F9">
        <w:t>.</w:t>
      </w:r>
    </w:p>
    <w:p w14:paraId="509AD9CA" w14:textId="77777777" w:rsidR="00CE52B1" w:rsidRDefault="00CE52B1">
      <w:pPr>
        <w:pStyle w:val="BodyText"/>
        <w:rPr>
          <w:sz w:val="26"/>
        </w:rPr>
      </w:pPr>
    </w:p>
    <w:p w14:paraId="5FA1F8DE" w14:textId="77777777" w:rsidR="00CE52B1" w:rsidRDefault="00CE52B1">
      <w:pPr>
        <w:pStyle w:val="BodyText"/>
        <w:rPr>
          <w:sz w:val="22"/>
        </w:rPr>
      </w:pPr>
    </w:p>
    <w:p w14:paraId="63D5385C" w14:textId="77777777" w:rsidR="00CE52B1" w:rsidRDefault="004F44F9">
      <w:pPr>
        <w:pStyle w:val="Heading1"/>
        <w:spacing w:before="1"/>
      </w:pPr>
      <w:r>
        <w:t>What are the reporting requirements and what will be done with the information?</w:t>
      </w:r>
    </w:p>
    <w:p w14:paraId="05E007DA" w14:textId="77777777" w:rsidR="00CE52B1" w:rsidRDefault="00CE52B1">
      <w:pPr>
        <w:pStyle w:val="BodyText"/>
        <w:spacing w:before="11"/>
        <w:rPr>
          <w:b/>
          <w:sz w:val="23"/>
        </w:rPr>
      </w:pPr>
    </w:p>
    <w:p w14:paraId="7E99F548" w14:textId="77777777" w:rsidR="00CE52B1" w:rsidRDefault="004F44F9">
      <w:pPr>
        <w:pStyle w:val="BodyText"/>
        <w:ind w:left="100" w:right="456"/>
      </w:pPr>
      <w:r>
        <w:t>The Act requires only that the physician</w:t>
      </w:r>
      <w:r w:rsidR="00024DF9">
        <w:t>,</w:t>
      </w:r>
      <w:r>
        <w:t xml:space="preserve"> </w:t>
      </w:r>
      <w:r w:rsidR="00024DF9">
        <w:t xml:space="preserve">who prescribes the medication, provides documentation to the Department of Health and Human Services as </w:t>
      </w:r>
      <w:r w:rsidR="00B13905">
        <w:t xml:space="preserve">required by rule. </w:t>
      </w:r>
      <w:r>
        <w:t xml:space="preserve">This information </w:t>
      </w:r>
      <w:r w:rsidR="00B13905">
        <w:t xml:space="preserve">is confidential, is not a public record and not open to public inspection. It </w:t>
      </w:r>
      <w:r>
        <w:t>will be protected under state and federal privacy laws.</w:t>
      </w:r>
    </w:p>
    <w:p w14:paraId="7363C91C" w14:textId="77777777" w:rsidR="00CE52B1" w:rsidRDefault="00CE52B1">
      <w:pPr>
        <w:pStyle w:val="BodyText"/>
        <w:spacing w:before="1"/>
      </w:pPr>
    </w:p>
    <w:p w14:paraId="56271E0C" w14:textId="77777777" w:rsidR="00CE52B1" w:rsidRDefault="004F44F9">
      <w:pPr>
        <w:pStyle w:val="Heading1"/>
      </w:pPr>
      <w:r>
        <w:t>Who can prescribe this medication?</w:t>
      </w:r>
    </w:p>
    <w:p w14:paraId="35B89B56" w14:textId="77777777" w:rsidR="00CE52B1" w:rsidRDefault="004F44F9" w:rsidP="00B13905">
      <w:pPr>
        <w:pStyle w:val="BodyText"/>
        <w:spacing w:before="201" w:line="275" w:lineRule="exact"/>
        <w:ind w:left="100"/>
      </w:pPr>
      <w:r>
        <w:t xml:space="preserve">Any physician who is licensed to practice medicine in </w:t>
      </w:r>
      <w:r w:rsidR="00A8710F">
        <w:t>Maine</w:t>
      </w:r>
      <w:r w:rsidR="00B13905">
        <w:t>, tha</w:t>
      </w:r>
      <w:r>
        <w:t xml:space="preserve">t includes physicians with MD and DO degrees. </w:t>
      </w:r>
      <w:r w:rsidR="00B13905">
        <w:t xml:space="preserve">It </w:t>
      </w:r>
      <w:r>
        <w:t>does not extend to other prescribers such as advanced-practice registered nurses and physician assistants.</w:t>
      </w:r>
    </w:p>
    <w:sectPr w:rsidR="00CE52B1">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B1"/>
    <w:rsid w:val="00024DF9"/>
    <w:rsid w:val="001537F7"/>
    <w:rsid w:val="00172FE7"/>
    <w:rsid w:val="002F00BC"/>
    <w:rsid w:val="004F44F9"/>
    <w:rsid w:val="006D52DE"/>
    <w:rsid w:val="007A6E6E"/>
    <w:rsid w:val="007D4DFD"/>
    <w:rsid w:val="008349CD"/>
    <w:rsid w:val="00A8710F"/>
    <w:rsid w:val="00B13905"/>
    <w:rsid w:val="00CE52B1"/>
    <w:rsid w:val="00E855D5"/>
    <w:rsid w:val="00F20C19"/>
    <w:rsid w:val="00F2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2CE5"/>
  <w15:docId w15:val="{88AAEE86-5246-48C5-AD32-A9013FC2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00BC"/>
    <w:rPr>
      <w:color w:val="0000FF" w:themeColor="hyperlink"/>
      <w:u w:val="single"/>
    </w:rPr>
  </w:style>
  <w:style w:type="character" w:styleId="UnresolvedMention">
    <w:name w:val="Unresolved Mention"/>
    <w:basedOn w:val="DefaultParagraphFont"/>
    <w:uiPriority w:val="99"/>
    <w:semiHidden/>
    <w:unhideWhenUsed/>
    <w:rsid w:val="002F00BC"/>
    <w:rPr>
      <w:color w:val="605E5C"/>
      <w:shd w:val="clear" w:color="auto" w:fill="E1DFDD"/>
    </w:rPr>
  </w:style>
  <w:style w:type="character" w:styleId="CommentReference">
    <w:name w:val="annotation reference"/>
    <w:basedOn w:val="DefaultParagraphFont"/>
    <w:uiPriority w:val="99"/>
    <w:semiHidden/>
    <w:unhideWhenUsed/>
    <w:rsid w:val="006D52DE"/>
    <w:rPr>
      <w:sz w:val="16"/>
      <w:szCs w:val="16"/>
    </w:rPr>
  </w:style>
  <w:style w:type="paragraph" w:styleId="CommentText">
    <w:name w:val="annotation text"/>
    <w:basedOn w:val="Normal"/>
    <w:link w:val="CommentTextChar"/>
    <w:uiPriority w:val="99"/>
    <w:semiHidden/>
    <w:unhideWhenUsed/>
    <w:rsid w:val="006D52DE"/>
    <w:rPr>
      <w:sz w:val="20"/>
      <w:szCs w:val="20"/>
    </w:rPr>
  </w:style>
  <w:style w:type="character" w:customStyle="1" w:styleId="CommentTextChar">
    <w:name w:val="Comment Text Char"/>
    <w:basedOn w:val="DefaultParagraphFont"/>
    <w:link w:val="CommentText"/>
    <w:uiPriority w:val="99"/>
    <w:semiHidden/>
    <w:rsid w:val="006D52D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D52DE"/>
    <w:rPr>
      <w:b/>
      <w:bCs/>
    </w:rPr>
  </w:style>
  <w:style w:type="character" w:customStyle="1" w:styleId="CommentSubjectChar">
    <w:name w:val="Comment Subject Char"/>
    <w:basedOn w:val="CommentTextChar"/>
    <w:link w:val="CommentSubject"/>
    <w:uiPriority w:val="99"/>
    <w:semiHidden/>
    <w:rsid w:val="006D52D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D5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2DE"/>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153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e.gov/dhhs/mecdc/public-health-systems/data-research/vital-records/forms/index.shtml" TargetMode="External"/><Relationship Id="rId11" Type="http://schemas.openxmlformats.org/officeDocument/2006/relationships/customXml" Target="../customXml/item3.xml"/><Relationship Id="rId5" Type="http://schemas.openxmlformats.org/officeDocument/2006/relationships/hyperlink" Target="http://legislature.maine.gov/bills/getPDF.asp?paper=HP0948&amp;item=3&amp;snum=129" TargetMode="External"/><Relationship Id="rId10" Type="http://schemas.openxmlformats.org/officeDocument/2006/relationships/customXml" Target="../customXml/item2.xml"/><Relationship Id="rId4" Type="http://schemas.openxmlformats.org/officeDocument/2006/relationships/image" Target="media/image1.emf"/><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B8CDBE5297C4AA3D09683993BC91E" ma:contentTypeVersion="12" ma:contentTypeDescription="Create a new document." ma:contentTypeScope="" ma:versionID="176e3f5ee5a7b7906b78e4f3c2892531">
  <xsd:schema xmlns:xsd="http://www.w3.org/2001/XMLSchema" xmlns:xs="http://www.w3.org/2001/XMLSchema" xmlns:p="http://schemas.microsoft.com/office/2006/metadata/properties" xmlns:ns2="278f7f38-c5c6-431d-ac0d-106842841290" xmlns:ns3="76a57295-68cc-41da-b8e5-4f58343b7119" targetNamespace="http://schemas.microsoft.com/office/2006/metadata/properties" ma:root="true" ma:fieldsID="6867fb6c18a6c77af2c3777bb9f1193a" ns2:_="" ns3:_="">
    <xsd:import namespace="278f7f38-c5c6-431d-ac0d-106842841290"/>
    <xsd:import namespace="76a57295-68cc-41da-b8e5-4f58343b7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7f38-c5c6-431d-ac0d-106842841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57295-68cc-41da-b8e5-4f58343b7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4ce89b-f178-4d4d-bdd9-133111513877}" ma:internalName="TaxCatchAll" ma:showField="CatchAllData" ma:web="76a57295-68cc-41da-b8e5-4f58343b7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a57295-68cc-41da-b8e5-4f58343b7119" xsi:nil="true"/>
    <lcf76f155ced4ddcb4097134ff3c332f xmlns="278f7f38-c5c6-431d-ac0d-1068428412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CF8B6-648B-44B5-BA67-5C8CFCD0A54A}"/>
</file>

<file path=customXml/itemProps2.xml><?xml version="1.0" encoding="utf-8"?>
<ds:datastoreItem xmlns:ds="http://schemas.openxmlformats.org/officeDocument/2006/customXml" ds:itemID="{63BA0EC4-F650-4DCA-929D-ED4A1BC7024F}"/>
</file>

<file path=customXml/itemProps3.xml><?xml version="1.0" encoding="utf-8"?>
<ds:datastoreItem xmlns:ds="http://schemas.openxmlformats.org/officeDocument/2006/customXml" ds:itemID="{B752EE59-06D7-4708-B3D1-44379AECB138}"/>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Kim.E.Haggan@maine.gov</dc:creator>
  <cp:lastModifiedBy>Ham, Stephanie</cp:lastModifiedBy>
  <cp:revision>2</cp:revision>
  <dcterms:created xsi:type="dcterms:W3CDTF">2025-04-15T19:40:00Z</dcterms:created>
  <dcterms:modified xsi:type="dcterms:W3CDTF">2025-04-15T19:40:00Z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2019-08-23T00:00:00Z</vt:filetime>
  </property>
  <property fmtid="{D5CDD505-2E9C-101B-9397-08002B2CF9AE}" pid="5" name="ContentTypeId">
    <vt:lpwstr>0x010100583B8CDBE5297C4AA3D09683993BC91E</vt:lpwstr>
  </property>
</Properties>
</file>