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1DB2E22" w:rsidR="00272295" w:rsidRDefault="00E148DA" w:rsidP="00697B1E">
      <w:r>
        <w:t xml:space="preserve">April </w:t>
      </w:r>
      <w:r w:rsidR="00DB7A5E">
        <w:t>15</w:t>
      </w:r>
      <w:r w:rsidR="00337F3B">
        <w:t>, 202</w:t>
      </w:r>
      <w:r w:rsidR="00B75D30">
        <w:t>5</w:t>
      </w:r>
    </w:p>
    <w:p w14:paraId="4E65E6AD" w14:textId="16A12D99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DB7A5E">
        <w:t>5</w:t>
      </w:r>
      <w:r w:rsidR="00816D7A" w:rsidRPr="00FD1CC0">
        <w:t xml:space="preserve"> (ending </w:t>
      </w:r>
      <w:r w:rsidR="00A230E6">
        <w:t>4/</w:t>
      </w:r>
      <w:r w:rsidR="00DB7A5E">
        <w:t>12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8F0FA8">
        <w:rPr>
          <w:b/>
          <w:bCs/>
        </w:rPr>
        <w:t>U</w:t>
      </w:r>
      <w:r w:rsidR="00531811" w:rsidRPr="008F0FA8">
        <w:rPr>
          <w:b/>
          <w:bCs/>
        </w:rPr>
        <w:t>.S. Outpatient Influenza-like</w:t>
      </w:r>
      <w:r w:rsidR="00531811" w:rsidRPr="00415DB3">
        <w:rPr>
          <w:b/>
          <w:bCs/>
        </w:rPr>
        <w:t xml:space="preserve"> Illness</w:t>
      </w:r>
      <w:r w:rsidR="00531811">
        <w:rPr>
          <w:b/>
          <w:bCs/>
        </w:rPr>
        <w:t xml:space="preserve">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proofErr w:type="spellStart"/>
      <w:r w:rsidR="00BA3739" w:rsidRPr="00102F3C">
        <w:rPr>
          <w:b/>
          <w:sz w:val="18"/>
          <w:szCs w:val="18"/>
        </w:rPr>
        <w:t>ILINet</w:t>
      </w:r>
      <w:proofErr w:type="spellEnd"/>
      <w:r w:rsidR="00BA3739" w:rsidRPr="00102F3C">
        <w:rPr>
          <w:b/>
          <w:sz w:val="18"/>
          <w:szCs w:val="18"/>
        </w:rPr>
        <w:t>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66CB1946" w:rsidR="00673D41" w:rsidRPr="00615AE8" w:rsidRDefault="008F0FA8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2.69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22CC53C2" w:rsidR="00673D41" w:rsidRPr="00F54653" w:rsidRDefault="00E0185A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230E6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A4F3BCC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E80361A" w:rsidR="005C2BB6" w:rsidRPr="00364EE2" w:rsidRDefault="008F0FA8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2.96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3CEADAEA" w:rsidR="005C2BB6" w:rsidRPr="00FE11DD" w:rsidRDefault="000E60E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A230E6">
              <w:rPr>
                <w:b/>
                <w:bCs/>
              </w:rPr>
              <w:t>4</w:t>
            </w:r>
            <w:r w:rsidR="008F0FA8">
              <w:rPr>
                <w:b/>
                <w:bCs/>
              </w:rPr>
              <w:t>7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161A6724" w:rsidR="00F226A4" w:rsidRPr="005B36F3" w:rsidRDefault="008F0FA8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35F1353" w:rsidR="00F226A4" w:rsidRPr="00FE11DD" w:rsidRDefault="000E60E3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8F0FA8">
              <w:rPr>
                <w:b/>
                <w:bCs/>
              </w:rPr>
              <w:t>400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37A981C4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085E0C84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5E185832" w:rsidR="00531811" w:rsidRPr="00615AE8" w:rsidRDefault="008F0FA8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10.26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CEB961D" w:rsidR="00531811" w:rsidRPr="007B472A" w:rsidRDefault="008F0FA8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6D7F81F6" w:rsidR="00615AE8" w:rsidRPr="006454D1" w:rsidRDefault="00A230E6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8F0FA8">
              <w:rPr>
                <w:b/>
                <w:bCs/>
              </w:rPr>
              <w:t>5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3F9CD494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39DAEDA7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8F0FA8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2DBBA6C4" w:rsidR="00771A38" w:rsidRPr="009B75A7" w:rsidRDefault="008F0FA8" w:rsidP="004B40FE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515" w:type="dxa"/>
          </w:tcPr>
          <w:p w14:paraId="583B98F5" w14:textId="27FD58F5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0115B2">
              <w:rPr>
                <w:bCs/>
              </w:rPr>
              <w:t>9</w:t>
            </w:r>
            <w:r w:rsidR="008F0FA8">
              <w:rPr>
                <w:bCs/>
              </w:rPr>
              <w:t>87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34ACB272" w:rsidR="00771A38" w:rsidRPr="009B75A7" w:rsidRDefault="008F0FA8" w:rsidP="004B40FE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72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3CAD3A63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A230E6">
              <w:rPr>
                <w:bCs/>
              </w:rPr>
              <w:t>8</w:t>
            </w:r>
            <w:r w:rsidR="008F0FA8">
              <w:rPr>
                <w:bCs/>
              </w:rPr>
              <w:t>39</w:t>
            </w:r>
            <w:r w:rsidR="001F0369">
              <w:rPr>
                <w:bCs/>
              </w:rPr>
              <w:t xml:space="preserve"> (</w:t>
            </w:r>
            <w:r w:rsidR="008F0FA8">
              <w:rPr>
                <w:bCs/>
              </w:rPr>
              <w:t>93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</w:t>
            </w:r>
            <w:proofErr w:type="gramStart"/>
            <w:r>
              <w:rPr>
                <w:b/>
              </w:rPr>
              <w:t>1)pdm</w:t>
            </w:r>
            <w:proofErr w:type="gramEnd"/>
            <w:r>
              <w:rPr>
                <w:b/>
              </w:rPr>
              <w:t>09</w:t>
            </w:r>
          </w:p>
        </w:tc>
        <w:tc>
          <w:tcPr>
            <w:tcW w:w="2700" w:type="dxa"/>
          </w:tcPr>
          <w:p w14:paraId="7955F88C" w14:textId="601810BB" w:rsidR="00771A38" w:rsidRPr="009B75A7" w:rsidRDefault="008F0FA8" w:rsidP="004B40FE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CA42EE">
              <w:rPr>
                <w:bCs/>
              </w:rPr>
              <w:t xml:space="preserve"> (</w:t>
            </w:r>
            <w:r w:rsidR="00A230E6">
              <w:rPr>
                <w:bCs/>
              </w:rPr>
              <w:t>6</w:t>
            </w:r>
            <w:r>
              <w:rPr>
                <w:bCs/>
              </w:rPr>
              <w:t>2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59ABEBBA" w:rsidR="00771A38" w:rsidRPr="003D117B" w:rsidRDefault="008F0FA8" w:rsidP="004B40FE">
            <w:pPr>
              <w:jc w:val="center"/>
              <w:rPr>
                <w:bCs/>
              </w:rPr>
            </w:pPr>
            <w:r>
              <w:rPr>
                <w:bCs/>
              </w:rPr>
              <w:t>916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50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57AD157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0</w:t>
            </w:r>
            <w:r w:rsidR="00C57993">
              <w:rPr>
                <w:bCs/>
              </w:rPr>
              <w:t>%</w:t>
            </w:r>
            <w:r w:rsidR="00CA42EE">
              <w:rPr>
                <w:bCs/>
              </w:rPr>
              <w:t>)</w:t>
            </w:r>
          </w:p>
        </w:tc>
        <w:tc>
          <w:tcPr>
            <w:tcW w:w="2515" w:type="dxa"/>
          </w:tcPr>
          <w:p w14:paraId="13E709C4" w14:textId="2F713245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A230E6">
              <w:rPr>
                <w:bCs/>
              </w:rPr>
              <w:t>3</w:t>
            </w:r>
            <w:r w:rsidR="008F0FA8">
              <w:rPr>
                <w:bCs/>
              </w:rPr>
              <w:t>3</w:t>
            </w:r>
            <w:r w:rsidR="001F0369">
              <w:rPr>
                <w:bCs/>
              </w:rPr>
              <w:t xml:space="preserve"> (</w:t>
            </w:r>
            <w:r w:rsidR="008F0FA8">
              <w:rPr>
                <w:bCs/>
              </w:rPr>
              <w:t>40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2335E53" w:rsidR="00771A38" w:rsidRPr="009B75A7" w:rsidRDefault="008F0FA8" w:rsidP="004B40FE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4B030B">
              <w:rPr>
                <w:bCs/>
              </w:rPr>
              <w:t xml:space="preserve"> (</w:t>
            </w:r>
            <w:r>
              <w:rPr>
                <w:bCs/>
              </w:rPr>
              <w:t>38</w:t>
            </w:r>
            <w:r w:rsidR="000E60E3">
              <w:rPr>
                <w:bCs/>
              </w:rPr>
              <w:t>%</w:t>
            </w:r>
            <w:r w:rsidR="004B030B">
              <w:rPr>
                <w:bCs/>
              </w:rPr>
              <w:t xml:space="preserve">) </w:t>
            </w:r>
          </w:p>
        </w:tc>
        <w:tc>
          <w:tcPr>
            <w:tcW w:w="2515" w:type="dxa"/>
          </w:tcPr>
          <w:p w14:paraId="21012191" w14:textId="31ECB389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F0FA8">
              <w:rPr>
                <w:bCs/>
              </w:rPr>
              <w:t>90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</w:t>
            </w:r>
            <w:r w:rsidR="00C57993">
              <w:rPr>
                <w:bCs/>
              </w:rPr>
              <w:t>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4C12D907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35E25497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2945C7" w:rsidRDefault="00771A38" w:rsidP="002E3C1F">
            <w:pPr>
              <w:jc w:val="center"/>
              <w:rPr>
                <w:b/>
                <w:highlight w:val="yellow"/>
              </w:rPr>
            </w:pPr>
            <w:r w:rsidRPr="0098791E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78A95A44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8F0FA8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4A09D6C6" w:rsidR="000D6C22" w:rsidRPr="00EC39E9" w:rsidRDefault="00554DA8" w:rsidP="004B030B">
            <w:pPr>
              <w:jc w:val="center"/>
              <w:rPr>
                <w:bCs/>
              </w:rPr>
            </w:pPr>
            <w:r>
              <w:rPr>
                <w:bCs/>
              </w:rPr>
              <w:t>1,040</w:t>
            </w:r>
          </w:p>
        </w:tc>
        <w:tc>
          <w:tcPr>
            <w:tcW w:w="2515" w:type="dxa"/>
          </w:tcPr>
          <w:p w14:paraId="783B27B2" w14:textId="02341E50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30,879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0FAAAD10" w:rsidR="000D6C22" w:rsidRPr="00EC39E9" w:rsidRDefault="00554DA8" w:rsidP="000D6C22">
            <w:pPr>
              <w:jc w:val="center"/>
              <w:rPr>
                <w:bCs/>
              </w:rPr>
            </w:pPr>
            <w:r>
              <w:rPr>
                <w:bCs/>
              </w:rPr>
              <w:t>148 (14%)</w:t>
            </w:r>
          </w:p>
        </w:tc>
        <w:tc>
          <w:tcPr>
            <w:tcW w:w="2515" w:type="dxa"/>
          </w:tcPr>
          <w:p w14:paraId="04AD303C" w14:textId="014D166D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4,489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290FEA62" w:rsidR="000D6C22" w:rsidRPr="00EC39E9" w:rsidRDefault="00554DA8" w:rsidP="000D6C22">
            <w:pPr>
              <w:jc w:val="center"/>
              <w:rPr>
                <w:bCs/>
              </w:rPr>
            </w:pPr>
            <w:r>
              <w:rPr>
                <w:bCs/>
              </w:rPr>
              <w:t>53 (36%)</w:t>
            </w:r>
          </w:p>
        </w:tc>
        <w:tc>
          <w:tcPr>
            <w:tcW w:w="2515" w:type="dxa"/>
          </w:tcPr>
          <w:p w14:paraId="7F814D02" w14:textId="25D5E623" w:rsidR="000D6C22" w:rsidRPr="000C44D2" w:rsidRDefault="00600440" w:rsidP="000D6C22">
            <w:pPr>
              <w:jc w:val="center"/>
              <w:rPr>
                <w:bCs/>
              </w:rPr>
            </w:pPr>
            <w:r>
              <w:rPr>
                <w:bCs/>
              </w:rPr>
              <w:t>3,</w:t>
            </w:r>
            <w:r w:rsidR="007B2542">
              <w:rPr>
                <w:bCs/>
              </w:rPr>
              <w:t>973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89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7082375A" w:rsidR="000D6C22" w:rsidRPr="00EC39E9" w:rsidRDefault="00554DA8" w:rsidP="000D6C22">
            <w:pPr>
              <w:jc w:val="center"/>
              <w:rPr>
                <w:bCs/>
              </w:rPr>
            </w:pPr>
            <w:r>
              <w:rPr>
                <w:bCs/>
              </w:rPr>
              <w:t>95 (64%)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082E55EA" w:rsidR="000D6C22" w:rsidRPr="000C44D2" w:rsidRDefault="007B2542" w:rsidP="000D6C22">
            <w:pPr>
              <w:jc w:val="center"/>
              <w:rPr>
                <w:bCs/>
              </w:rPr>
            </w:pPr>
            <w:r>
              <w:rPr>
                <w:bCs/>
              </w:rPr>
              <w:t>516</w:t>
            </w:r>
            <w:r w:rsidR="00BA2243">
              <w:rPr>
                <w:bCs/>
              </w:rPr>
              <w:t xml:space="preserve"> (</w:t>
            </w:r>
            <w:r>
              <w:rPr>
                <w:bCs/>
              </w:rPr>
              <w:t>11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51B1DCDA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4C23271A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8F0FA8">
              <w:rPr>
                <w:b/>
              </w:rPr>
              <w:t>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67FC9BD9" w:rsidR="0025564A" w:rsidRPr="009B75A7" w:rsidRDefault="00A7180E" w:rsidP="000C44D2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2515" w:type="dxa"/>
          </w:tcPr>
          <w:p w14:paraId="615F4E2C" w14:textId="1B41548C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>
              <w:rPr>
                <w:bCs/>
              </w:rPr>
              <w:t>5</w:t>
            </w:r>
            <w:r w:rsidR="00641D43">
              <w:rPr>
                <w:bCs/>
              </w:rPr>
              <w:t>92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02CADFED" w:rsidR="0025564A" w:rsidRPr="009B75A7" w:rsidRDefault="00A7180E" w:rsidP="000C44D2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515" w:type="dxa"/>
          </w:tcPr>
          <w:p w14:paraId="3EC6D09F" w14:textId="72F9A5D3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45C7">
              <w:rPr>
                <w:bCs/>
              </w:rPr>
              <w:t>3,</w:t>
            </w:r>
            <w:r w:rsidR="00641D43">
              <w:rPr>
                <w:bCs/>
              </w:rPr>
              <w:t>030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33A606CB" w:rsidR="0025564A" w:rsidRPr="009B75A7" w:rsidRDefault="00A7180E" w:rsidP="00FA5E32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38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230548B0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</w:t>
            </w:r>
            <w:r w:rsidR="00641D43">
              <w:rPr>
                <w:bCs/>
              </w:rPr>
              <w:t>615</w:t>
            </w:r>
            <w:r w:rsidR="00AA1086">
              <w:rPr>
                <w:bCs/>
              </w:rPr>
              <w:t xml:space="preserve"> (</w:t>
            </w:r>
            <w:r w:rsidR="00641D43">
              <w:rPr>
                <w:bCs/>
              </w:rPr>
              <w:t>82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DA5DC60" w:rsidR="0025564A" w:rsidRPr="009B75A7" w:rsidRDefault="00A7180E" w:rsidP="00FB640F">
            <w:pPr>
              <w:jc w:val="center"/>
              <w:rPr>
                <w:bCs/>
              </w:rPr>
            </w:pPr>
            <w:r>
              <w:rPr>
                <w:bCs/>
              </w:rPr>
              <w:t>64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62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6159F988" w:rsidR="0025564A" w:rsidRPr="004A56EB" w:rsidRDefault="00641D43" w:rsidP="009F53C2">
            <w:pPr>
              <w:jc w:val="center"/>
              <w:rPr>
                <w:bCs/>
              </w:rPr>
            </w:pPr>
            <w:r>
              <w:rPr>
                <w:bCs/>
              </w:rPr>
              <w:t>3,007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 w:rsidR="002945C7"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4AB09385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9ABE3D2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641D43">
        <w:rPr>
          <w:sz w:val="23"/>
          <w:szCs w:val="23"/>
        </w:rPr>
        <w:t>4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42920756" w:rsidR="00697B1E" w:rsidRPr="00050158" w:rsidRDefault="002945C7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64.9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02FA1900" w:rsidR="00FF4310" w:rsidRPr="00754DFC" w:rsidRDefault="00641D43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98.5</w:t>
      </w:r>
      <w:r w:rsidR="00B62A80">
        <w:rPr>
          <w:sz w:val="23"/>
          <w:szCs w:val="23"/>
        </w:rPr>
        <w:t xml:space="preserve">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 w:rsidR="00B62A80">
        <w:rPr>
          <w:sz w:val="23"/>
          <w:szCs w:val="23"/>
        </w:rPr>
        <w:t>l</w:t>
      </w:r>
      <w:r w:rsidR="00B62A80"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422AD5D6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8F0FA8">
        <w:rPr>
          <w:b/>
          <w:noProof/>
        </w:rPr>
        <w:t>5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A912F4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744FA0C4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36859032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18D12728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71C47CC2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3AE43CB5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51B49444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3879CE0D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7C5B53D3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6840D3D9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4341CE12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18218462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1672FB40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5BC0B7F4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55E5026A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5284185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B7FF2FA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304162EE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3D55BC7E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45D95180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79929A71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72B047CB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60B2A46D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B9CFBD5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7BFB2F42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13D18F71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75FCC65D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494C0CE6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300B355B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5280288A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6E492E2C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281D2ABC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6CC4EAFB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08B2759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58D0E77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676CF5F2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187E80F7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4889FB3E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36BA98E4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76EF2C5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4CBBB796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53EC1F67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1575C15C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40E80660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137A6657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022C729D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2D32DB2E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3B36A429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07A918C3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6C25B98E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4C69D40B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759292E3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7502A728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52C757E5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617F2A94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66B20A52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2C914C2C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07C5CFFD" w14:textId="77777777" w:rsidTr="00A912F4">
        <w:trPr>
          <w:trHeight w:val="12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E50F295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125D56E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3B7E76CD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47594CB0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A912F4" w:rsidRPr="00EC39E9" w:rsidRDefault="00A912F4" w:rsidP="00A912F4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380E59C2" w:rsidR="00A912F4" w:rsidRPr="00B33FEE" w:rsidRDefault="00A912F4" w:rsidP="00A912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05C47EF8" w:rsidR="00A912F4" w:rsidRPr="00AE23ED" w:rsidRDefault="00A912F4" w:rsidP="00A912F4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0FD3554C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912F4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6EC8DF9A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A912F4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A912F4" w:rsidRPr="00EC39E9" w:rsidRDefault="00A912F4" w:rsidP="00A912F4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32382A69" w:rsidR="00A912F4" w:rsidRPr="00A912F4" w:rsidRDefault="00A912F4" w:rsidP="00A912F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912F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7FE76C5A" w:rsidR="00A912F4" w:rsidRPr="00AE23ED" w:rsidRDefault="00A912F4" w:rsidP="00A912F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A912F4" w:rsidRPr="005C4665" w:rsidRDefault="00A912F4" w:rsidP="00A912F4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0A43D71C" w:rsidR="00BD2082" w:rsidRDefault="002A25CD" w:rsidP="00076584">
      <w:pPr>
        <w:ind w:left="540"/>
        <w:rPr>
          <w:b/>
          <w:noProof/>
          <w:sz w:val="20"/>
          <w:szCs w:val="20"/>
        </w:rPr>
      </w:pPr>
      <w:r w:rsidRPr="002A25CD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364ECCF1">
            <wp:simplePos x="0" y="0"/>
            <wp:positionH relativeFrom="column">
              <wp:posOffset>238125</wp:posOffset>
            </wp:positionH>
            <wp:positionV relativeFrom="paragraph">
              <wp:posOffset>200025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69A1" w:rsidRPr="002A25CD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679FF9FA">
            <wp:simplePos x="0" y="0"/>
            <wp:positionH relativeFrom="margin">
              <wp:posOffset>3676650</wp:posOffset>
            </wp:positionH>
            <wp:positionV relativeFrom="paragraph">
              <wp:posOffset>209550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2A25CD">
        <w:rPr>
          <w:b/>
          <w:noProof/>
          <w:sz w:val="20"/>
          <w:szCs w:val="20"/>
        </w:rPr>
        <w:t xml:space="preserve"> </w:t>
      </w:r>
      <w:r w:rsidR="00CE3A57" w:rsidRPr="002A25CD">
        <w:rPr>
          <w:b/>
          <w:noProof/>
          <w:sz w:val="20"/>
          <w:szCs w:val="20"/>
        </w:rPr>
        <w:t xml:space="preserve"> </w:t>
      </w:r>
      <w:r w:rsidR="00770445" w:rsidRPr="002A25CD">
        <w:rPr>
          <w:b/>
          <w:noProof/>
          <w:sz w:val="20"/>
          <w:szCs w:val="20"/>
        </w:rPr>
        <w:t xml:space="preserve">Influenza </w:t>
      </w:r>
      <w:r w:rsidR="00087213" w:rsidRPr="002A25CD">
        <w:rPr>
          <w:b/>
          <w:noProof/>
          <w:sz w:val="20"/>
          <w:szCs w:val="20"/>
        </w:rPr>
        <w:t>Activity</w:t>
      </w:r>
      <w:r w:rsidR="00266949" w:rsidRPr="002A25CD">
        <w:rPr>
          <w:b/>
          <w:noProof/>
          <w:sz w:val="20"/>
          <w:szCs w:val="20"/>
        </w:rPr>
        <w:t xml:space="preserve"> </w:t>
      </w:r>
      <w:r w:rsidR="00087213" w:rsidRPr="002A25CD">
        <w:rPr>
          <w:b/>
          <w:noProof/>
          <w:sz w:val="20"/>
          <w:szCs w:val="20"/>
        </w:rPr>
        <w:t>Trends</w:t>
      </w:r>
      <w:r w:rsidR="00770445" w:rsidRPr="002A25CD">
        <w:rPr>
          <w:b/>
          <w:noProof/>
          <w:sz w:val="20"/>
          <w:szCs w:val="20"/>
        </w:rPr>
        <w:t xml:space="preserve">, </w:t>
      </w:r>
      <w:r w:rsidR="00ED0D31" w:rsidRPr="002A25CD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8F0FA8">
        <w:rPr>
          <w:b/>
          <w:noProof/>
          <w:sz w:val="20"/>
          <w:szCs w:val="20"/>
        </w:rPr>
        <w:t>5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21770A">
        <w:rPr>
          <w:b/>
          <w:noProof/>
          <w:sz w:val="20"/>
          <w:szCs w:val="20"/>
        </w:rPr>
        <w:t>Influenza Severity Estimates,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8F0FA8">
        <w:rPr>
          <w:b/>
          <w:noProof/>
          <w:sz w:val="20"/>
          <w:szCs w:val="20"/>
        </w:rPr>
        <w:t>5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63939567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9781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31CD6DC7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30849CA5" w:rsidR="00906328" w:rsidRPr="000870E7" w:rsidRDefault="0069781C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70512CA9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781C">
              <w:rPr>
                <w:b/>
                <w:bCs/>
              </w:rPr>
              <w:t>64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7B443BE6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69781C" w:rsidRPr="00050158" w14:paraId="436451C8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  <w:vAlign w:val="bottom"/>
          </w:tcPr>
          <w:p w14:paraId="1A1043FC" w14:textId="500933C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7D0CDB5B" w14:textId="176EEBD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14836D4" w14:textId="4C5506E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7A6C5E1F" w14:textId="664AC061" w:rsidR="0069781C" w:rsidRPr="009A1837" w:rsidRDefault="0069781C" w:rsidP="0069781C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A63B5E3" w14:textId="4A330DB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E458B39" w14:textId="3F05863C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FAE7AA" w14:textId="3B1FBA6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0965C6C" w14:textId="5D53317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9781C" w:rsidRPr="00050158" w14:paraId="7BB3766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  <w:vAlign w:val="bottom"/>
          </w:tcPr>
          <w:p w14:paraId="3EC3AD4A" w14:textId="2373C36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noWrap/>
            <w:vAlign w:val="bottom"/>
          </w:tcPr>
          <w:p w14:paraId="73DBCD9E" w14:textId="4A79920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6C0927" w14:textId="110EF43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15A80698" w14:textId="6068479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11BE7F" w14:textId="4DCE3D0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5C600B4" w14:textId="6A3AD36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815C8D0" w14:textId="5AFB947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6C5C215" w14:textId="4A45AA7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9781C" w:rsidRPr="00050158" w14:paraId="2DF0A9C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  <w:vAlign w:val="bottom"/>
          </w:tcPr>
          <w:p w14:paraId="45AD8EA6" w14:textId="3DEA2C7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noWrap/>
            <w:vAlign w:val="bottom"/>
          </w:tcPr>
          <w:p w14:paraId="2E466281" w14:textId="5AFFAFB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2" w:type="dxa"/>
            <w:noWrap/>
            <w:vAlign w:val="bottom"/>
          </w:tcPr>
          <w:p w14:paraId="5D3DAD6D" w14:textId="5EE953A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22332224" w14:textId="4C2B916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EB17601" w14:textId="7A3F9B46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1908BD50" w14:textId="05DA71C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535B55" w14:textId="5871F8FC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E3D1B4" w14:textId="2057467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69781C" w:rsidRPr="00050158" w14:paraId="0C48904A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  <w:vAlign w:val="bottom"/>
          </w:tcPr>
          <w:p w14:paraId="7E47F2FF" w14:textId="3C3ED41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294217ED" w14:textId="112C94F6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79C992A" w14:textId="293FEF3A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DACD7B1" w14:textId="0B9A8B8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ADB8FAB" w14:textId="44360F6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4238265" w14:textId="66F0763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14E0620" w14:textId="64FF5C35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094DE4A0" w14:textId="03C030A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9781C" w:rsidRPr="00050158" w14:paraId="4625C634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  <w:vAlign w:val="bottom"/>
          </w:tcPr>
          <w:p w14:paraId="2440135C" w14:textId="1525E1C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49337B5A" w14:textId="5DBC380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70FF7BF" w14:textId="7885B2F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1AA0423D" w14:textId="3B425D7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119EE90" w14:textId="42E3152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AE1B9F8" w14:textId="11D8CE4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0A826A7" w14:textId="5E16E10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DDF9A0D" w14:textId="14289C0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9781C" w:rsidRPr="00050158" w14:paraId="1B896016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  <w:vAlign w:val="bottom"/>
          </w:tcPr>
          <w:p w14:paraId="34A5ACC9" w14:textId="0A055BD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noWrap/>
            <w:vAlign w:val="bottom"/>
          </w:tcPr>
          <w:p w14:paraId="52E26918" w14:textId="39610EE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52E6A1E6" w14:textId="457B4A3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74DDC8C5" w14:textId="49309F7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B6C340F" w14:textId="09364CB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1162574" w14:textId="61D1BED6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9A78C50" w14:textId="10B1EE2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BBEA33E" w14:textId="1DD3635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69781C" w:rsidRPr="00050158" w14:paraId="3432D02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  <w:vAlign w:val="bottom"/>
          </w:tcPr>
          <w:p w14:paraId="7BD80100" w14:textId="1D733C35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28AB6932" w14:textId="7D07F696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2" w:type="dxa"/>
            <w:noWrap/>
            <w:vAlign w:val="bottom"/>
          </w:tcPr>
          <w:p w14:paraId="52EF5F55" w14:textId="529A441A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4291440" w14:textId="66F1B3AA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6FAA2F4" w14:textId="7E453A9A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084A6454" w14:textId="575B1CAC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8F79D65" w14:textId="746F22C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5DEBFB" w14:textId="3E8B8BC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9781C" w:rsidRPr="00050158" w14:paraId="71C4363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  <w:vAlign w:val="bottom"/>
          </w:tcPr>
          <w:p w14:paraId="0CC6C21E" w14:textId="7BF4851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noWrap/>
            <w:vAlign w:val="bottom"/>
          </w:tcPr>
          <w:p w14:paraId="4011A9E7" w14:textId="550F68E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0AFD4D2" w14:textId="288DB0B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841DDB" w14:textId="5F80137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0B7A42CA" w14:textId="2A3AB53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6C60F182" w14:textId="0505A15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E1DF5EC" w14:textId="6AA9652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E703594" w14:textId="64502D4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9781C" w:rsidRPr="00050158" w14:paraId="61929971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  <w:vAlign w:val="bottom"/>
          </w:tcPr>
          <w:p w14:paraId="3BCDA670" w14:textId="2299D98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5B76DCD2" w14:textId="5935DA9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A023EB9" w14:textId="34BC082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432D48A0" w14:textId="5747114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B48010F" w14:textId="1F18BD8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545D7B9B" w14:textId="37F14E2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15BDD60" w14:textId="2AB5700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C486D36" w14:textId="0663797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9781C" w:rsidRPr="00050158" w14:paraId="01025BC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  <w:vAlign w:val="bottom"/>
          </w:tcPr>
          <w:p w14:paraId="5F695DDE" w14:textId="4640C045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noWrap/>
            <w:vAlign w:val="bottom"/>
          </w:tcPr>
          <w:p w14:paraId="68430070" w14:textId="19FC89D6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2" w:type="dxa"/>
            <w:noWrap/>
            <w:vAlign w:val="bottom"/>
          </w:tcPr>
          <w:p w14:paraId="6D74AD04" w14:textId="3039CA0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301E549C" w14:textId="5BC5849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16A0BCB7" w14:textId="1BD144B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2F747C5E" w14:textId="307FBFB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22D3EB5B" w14:textId="3AD5555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36F8C74B" w14:textId="0AD6C3B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69781C" w:rsidRPr="00050158" w14:paraId="767C230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  <w:vAlign w:val="bottom"/>
          </w:tcPr>
          <w:p w14:paraId="506D0F55" w14:textId="78B6008A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2F21077" w14:textId="180D8DA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1B6E5DE1" w14:textId="27E626B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74144080" w14:textId="74AA9F4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47FB7572" w14:textId="13080035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4D57580" w14:textId="5D8471D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C09763B" w14:textId="5A41E39A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7209A141" w14:textId="2DD1CC8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9781C" w:rsidRPr="00050158" w14:paraId="0D6E4469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  <w:vAlign w:val="bottom"/>
          </w:tcPr>
          <w:p w14:paraId="7E8EA872" w14:textId="532ED17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41E10D0F" w14:textId="326EBE9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1BEC4CC" w14:textId="5A2EC98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3E90C9D5" w14:textId="1C493FB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39BD6CE" w14:textId="47CBE5B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1C8C824B" w14:textId="4C876AA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56F2879" w14:textId="1775540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47090C3" w14:textId="0F924E5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69781C" w:rsidRPr="00050158" w14:paraId="42DC77DF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  <w:vAlign w:val="bottom"/>
          </w:tcPr>
          <w:p w14:paraId="5F0D61A9" w14:textId="5D0B703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noWrap/>
            <w:vAlign w:val="bottom"/>
          </w:tcPr>
          <w:p w14:paraId="1F688715" w14:textId="29A7475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0812FFAF" w14:textId="1D8B2C5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5BE781E3" w14:textId="30E7FA4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5B6ECCD6" w14:textId="2779693D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4B512BF" w14:textId="29D673D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19CFD87" w14:textId="4BD846E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2EB72393" w14:textId="5300114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69781C" w:rsidRPr="00050158" w14:paraId="3DCA63C3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  <w:vAlign w:val="bottom"/>
          </w:tcPr>
          <w:p w14:paraId="66DD2AC9" w14:textId="329F7017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4DBF4D37" w14:textId="5F5DA4E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3F021BE9" w14:textId="51984A6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noWrap/>
            <w:vAlign w:val="bottom"/>
          </w:tcPr>
          <w:p w14:paraId="4EF586D2" w14:textId="3FFEDBD8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C420393" w14:textId="7B4602E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B8FFDB6" w14:textId="6C923FE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E050AC1" w14:textId="276F8A4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27A6D92" w14:textId="19DDB07C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9781C" w:rsidRPr="00050158" w14:paraId="6AA0891B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  <w:vAlign w:val="bottom"/>
          </w:tcPr>
          <w:p w14:paraId="05CC365C" w14:textId="67BF553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noWrap/>
            <w:vAlign w:val="bottom"/>
          </w:tcPr>
          <w:p w14:paraId="064E11FC" w14:textId="457CA6B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2" w:type="dxa"/>
            <w:noWrap/>
            <w:vAlign w:val="bottom"/>
          </w:tcPr>
          <w:p w14:paraId="7C14AA9D" w14:textId="4855CD4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noWrap/>
            <w:vAlign w:val="bottom"/>
          </w:tcPr>
          <w:p w14:paraId="3FE24079" w14:textId="3246F7F2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65D02A1C" w14:textId="6CBB7D4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7DEC714C" w14:textId="097B13B0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2C37DD9" w14:textId="41987CD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50BFD6CE" w14:textId="6D0F7E4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69781C" w:rsidRPr="00050158" w14:paraId="3629B64E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69781C" w:rsidRPr="009A1837" w:rsidRDefault="0069781C" w:rsidP="0069781C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  <w:vAlign w:val="bottom"/>
          </w:tcPr>
          <w:p w14:paraId="692C34CF" w14:textId="770E7279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05" w:type="dxa"/>
            <w:noWrap/>
            <w:vAlign w:val="bottom"/>
          </w:tcPr>
          <w:p w14:paraId="5FF2C6DC" w14:textId="46407A9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2" w:type="dxa"/>
            <w:noWrap/>
            <w:vAlign w:val="bottom"/>
          </w:tcPr>
          <w:p w14:paraId="7FC3C1B5" w14:textId="1A4AC634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noWrap/>
            <w:vAlign w:val="bottom"/>
          </w:tcPr>
          <w:p w14:paraId="13EB2A27" w14:textId="0FDEFB6B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3FBCD523" w14:textId="12DD269E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4" w:type="dxa"/>
            <w:noWrap/>
            <w:vAlign w:val="bottom"/>
          </w:tcPr>
          <w:p w14:paraId="4A4977AE" w14:textId="502D2CD1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noWrap/>
            <w:vAlign w:val="bottom"/>
          </w:tcPr>
          <w:p w14:paraId="7F81317D" w14:textId="2AFB4B53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noWrap/>
            <w:vAlign w:val="bottom"/>
          </w:tcPr>
          <w:p w14:paraId="1A547C1A" w14:textId="6A89FC1F" w:rsidR="0069781C" w:rsidRPr="009A1837" w:rsidRDefault="0069781C" w:rsidP="0069781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69781C" w:rsidRPr="00050158" w14:paraId="0CFC49FC" w14:textId="77777777" w:rsidTr="00CD3E8E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69781C" w:rsidRPr="009A1837" w:rsidRDefault="0069781C" w:rsidP="0069781C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  <w:vAlign w:val="bottom"/>
          </w:tcPr>
          <w:p w14:paraId="332D3CCE" w14:textId="167FC9E4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5" w:type="dxa"/>
            <w:noWrap/>
            <w:vAlign w:val="bottom"/>
          </w:tcPr>
          <w:p w14:paraId="69828353" w14:textId="6A3CE874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2" w:type="dxa"/>
            <w:noWrap/>
            <w:vAlign w:val="bottom"/>
          </w:tcPr>
          <w:p w14:paraId="4EF4F4D9" w14:textId="6C68B613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05" w:type="dxa"/>
            <w:noWrap/>
            <w:vAlign w:val="bottom"/>
          </w:tcPr>
          <w:p w14:paraId="2661FFAD" w14:textId="7FF12050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189A5755" w14:textId="7F74C500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4" w:type="dxa"/>
            <w:noWrap/>
            <w:vAlign w:val="bottom"/>
          </w:tcPr>
          <w:p w14:paraId="7415164B" w14:textId="1D2189EB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7" w:type="dxa"/>
            <w:noWrap/>
            <w:vAlign w:val="bottom"/>
          </w:tcPr>
          <w:p w14:paraId="680520D9" w14:textId="715D82E8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vAlign w:val="bottom"/>
          </w:tcPr>
          <w:p w14:paraId="27CA0A5D" w14:textId="19252D2F" w:rsidR="0069781C" w:rsidRPr="00611E6D" w:rsidRDefault="0069781C" w:rsidP="006978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164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4E62E383" w14:textId="3595DFFB" w:rsidR="00D92C98" w:rsidRPr="00D92C98" w:rsidRDefault="00641D43" w:rsidP="00D92C98">
      <w:pPr>
        <w:spacing w:before="100" w:beforeAutospacing="1" w:after="100" w:afterAutospacing="1"/>
      </w:pPr>
      <w:r w:rsidRPr="00641D43">
        <w:drawing>
          <wp:inline distT="0" distB="0" distL="0" distR="0" wp14:anchorId="220E24D4" wp14:editId="60299068">
            <wp:extent cx="6858000" cy="6226810"/>
            <wp:effectExtent l="0" t="0" r="0" b="2540"/>
            <wp:docPr id="116419191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9191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1770A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5CD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2799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4DA8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2C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1D43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81C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0FA8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429C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80E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2F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A5E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3.5</c:v>
                </c:pt>
                <c:pt idx="26">
                  <c:v>3</c:v>
                </c:pt>
                <c:pt idx="27">
                  <c:v>2.69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>
                  <c:v>4.99</c:v>
                </c:pt>
                <c:pt idx="14">
                  <c:v>4.6500000000000004</c:v>
                </c:pt>
                <c:pt idx="15">
                  <c:v>5.98</c:v>
                </c:pt>
                <c:pt idx="16">
                  <c:v>7.57</c:v>
                </c:pt>
                <c:pt idx="17">
                  <c:v>8.91</c:v>
                </c:pt>
                <c:pt idx="18">
                  <c:v>9.6</c:v>
                </c:pt>
                <c:pt idx="19">
                  <c:v>8.92</c:v>
                </c:pt>
                <c:pt idx="20">
                  <c:v>7.28</c:v>
                </c:pt>
                <c:pt idx="21">
                  <c:v>5.57</c:v>
                </c:pt>
                <c:pt idx="22">
                  <c:v>4.53</c:v>
                </c:pt>
                <c:pt idx="23">
                  <c:v>3.87</c:v>
                </c:pt>
                <c:pt idx="24">
                  <c:v>3.2</c:v>
                </c:pt>
                <c:pt idx="25">
                  <c:v>2.87</c:v>
                </c:pt>
                <c:pt idx="26">
                  <c:v>2.61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6</c:v>
                </c:pt>
                <c:pt idx="24">
                  <c:v>6</c:v>
                </c:pt>
                <c:pt idx="25">
                  <c:v>2</c:v>
                </c:pt>
                <c:pt idx="26">
                  <c:v>4</c:v>
                </c:pt>
                <c:pt idx="2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3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5.19</c:v>
                </c:pt>
                <c:pt idx="25">
                  <c:v>4.4800000000000004</c:v>
                </c:pt>
                <c:pt idx="26">
                  <c:v>3.59</c:v>
                </c:pt>
                <c:pt idx="27">
                  <c:v>2.96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0.72</c:v>
                </c:pt>
                <c:pt idx="25">
                  <c:v>0.52</c:v>
                </c:pt>
                <c:pt idx="26">
                  <c:v>0.51</c:v>
                </c:pt>
                <c:pt idx="27">
                  <c:v>0.47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149</c:v>
                </c:pt>
                <c:pt idx="22">
                  <c:v>121</c:v>
                </c:pt>
                <c:pt idx="23">
                  <c:v>90</c:v>
                </c:pt>
                <c:pt idx="24">
                  <c:v>52</c:v>
                </c:pt>
                <c:pt idx="25">
                  <c:v>38</c:v>
                </c:pt>
                <c:pt idx="26">
                  <c:v>16</c:v>
                </c:pt>
                <c:pt idx="27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6.0975609756097562</c:v>
                </c:pt>
                <c:pt idx="14">
                  <c:v>8.7078651685393265</c:v>
                </c:pt>
                <c:pt idx="15">
                  <c:v>8.2822085889570545</c:v>
                </c:pt>
                <c:pt idx="16">
                  <c:v>8.86426592797784</c:v>
                </c:pt>
                <c:pt idx="17">
                  <c:v>7.4285714285714288</c:v>
                </c:pt>
                <c:pt idx="18">
                  <c:v>10.089020771513352</c:v>
                </c:pt>
                <c:pt idx="19">
                  <c:v>11.869436201780417</c:v>
                </c:pt>
                <c:pt idx="20">
                  <c:v>9.6385542168674707</c:v>
                </c:pt>
                <c:pt idx="21">
                  <c:v>9.67741935483871</c:v>
                </c:pt>
                <c:pt idx="22">
                  <c:v>12.238805970149254</c:v>
                </c:pt>
                <c:pt idx="23">
                  <c:v>8.7378640776699026</c:v>
                </c:pt>
                <c:pt idx="24">
                  <c:v>10.247349823321555</c:v>
                </c:pt>
                <c:pt idx="25">
                  <c:v>8.6378737541528228</c:v>
                </c:pt>
                <c:pt idx="26">
                  <c:v>6.4846416382252556</c:v>
                </c:pt>
                <c:pt idx="27">
                  <c:v>10.256410256410255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7.0000000000000009</c:v>
                </c:pt>
                <c:pt idx="25">
                  <c:v>7.4155331285651602</c:v>
                </c:pt>
                <c:pt idx="26">
                  <c:v>6.6816395283548573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5">
                  <c:v>1</c:v>
                </c:pt>
                <c:pt idx="26">
                  <c:v>8</c:v>
                </c:pt>
                <c:pt idx="27">
                  <c:v>5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916</c:v>
                </c:pt>
                <c:pt idx="1">
                  <c:v>733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190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  <c:pt idx="26">
                  <c:v>78</c:v>
                </c:pt>
                <c:pt idx="27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  <c:pt idx="26">
                  <c:v>105</c:v>
                </c:pt>
                <c:pt idx="27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  <c:pt idx="26">
                  <c:v>15.735167669819432</c:v>
                </c:pt>
                <c:pt idx="27">
                  <c:v>14.23076923076923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1027</c:v>
                </c:pt>
                <c:pt idx="23">
                  <c:v>769</c:v>
                </c:pt>
                <c:pt idx="24">
                  <c:v>518</c:v>
                </c:pt>
                <c:pt idx="25">
                  <c:v>310</c:v>
                </c:pt>
                <c:pt idx="26">
                  <c:v>144</c:v>
                </c:pt>
                <c:pt idx="27">
                  <c:v>40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311</c:v>
                </c:pt>
                <c:pt idx="23">
                  <c:v>305</c:v>
                </c:pt>
                <c:pt idx="24">
                  <c:v>300</c:v>
                </c:pt>
                <c:pt idx="25">
                  <c:v>274</c:v>
                </c:pt>
                <c:pt idx="26">
                  <c:v>180</c:v>
                </c:pt>
                <c:pt idx="27">
                  <c:v>64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35</c:v>
                </c:pt>
                <c:pt idx="1">
                  <c:v>84</c:v>
                </c:pt>
                <c:pt idx="2">
                  <c:v>163</c:v>
                </c:pt>
                <c:pt idx="3">
                  <c:v>299</c:v>
                </c:pt>
                <c:pt idx="4">
                  <c:v>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1750</c:v>
                </c:pt>
                <c:pt idx="1">
                  <c:v>4834</c:v>
                </c:pt>
                <c:pt idx="2">
                  <c:v>3855</c:v>
                </c:pt>
                <c:pt idx="3">
                  <c:v>2158</c:v>
                </c:pt>
                <c:pt idx="4">
                  <c:v>2658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828</Words>
  <Characters>6161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Krueger, Anna</cp:lastModifiedBy>
  <cp:revision>8</cp:revision>
  <cp:lastPrinted>2025-01-21T18:02:00Z</cp:lastPrinted>
  <dcterms:created xsi:type="dcterms:W3CDTF">2025-04-15T15:36:00Z</dcterms:created>
  <dcterms:modified xsi:type="dcterms:W3CDTF">2025-04-15T17:17:00Z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