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D955704" w:rsidR="00272295" w:rsidRDefault="00E148DA" w:rsidP="00697B1E">
      <w:r>
        <w:t>April 1</w:t>
      </w:r>
      <w:r w:rsidR="00337F3B">
        <w:t>, 202</w:t>
      </w:r>
      <w:r w:rsidR="00B75D30">
        <w:t>5</w:t>
      </w:r>
    </w:p>
    <w:p w14:paraId="4E65E6AD" w14:textId="054AD703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E148DA">
        <w:t>3</w:t>
      </w:r>
      <w:r w:rsidR="00816D7A" w:rsidRPr="00FD1CC0">
        <w:t xml:space="preserve"> (ending </w:t>
      </w:r>
      <w:r w:rsidR="000E60E3">
        <w:t>3/</w:t>
      </w:r>
      <w:r w:rsidR="00750095">
        <w:t>2</w:t>
      </w:r>
      <w:r w:rsidR="00E148DA">
        <w:t>9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415DB3">
        <w:rPr>
          <w:b/>
          <w:bCs/>
        </w:rPr>
        <w:t>U</w:t>
      </w:r>
      <w:r w:rsidR="00531811" w:rsidRPr="00415DB3">
        <w:rPr>
          <w:b/>
          <w:bCs/>
        </w:rPr>
        <w:t>.S. Outpatient Influenza-like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37607B9" w:rsidR="00673D41" w:rsidRPr="00615AE8" w:rsidRDefault="00415DB3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3.74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7653BD3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A0E75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3A885B71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39966AEC" w:rsidR="005C2BB6" w:rsidRPr="00364EE2" w:rsidRDefault="00E148DA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3.98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51C7FDE0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E148DA">
              <w:rPr>
                <w:b/>
                <w:bCs/>
              </w:rPr>
              <w:t>52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025504C9" w:rsidR="00F226A4" w:rsidRPr="005B36F3" w:rsidRDefault="000115B2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42AE9EBC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0115B2">
              <w:rPr>
                <w:b/>
                <w:bCs/>
              </w:rPr>
              <w:t>377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0003F83D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9EAA8E1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11B14DFD" w:rsidR="00531811" w:rsidRPr="00615AE8" w:rsidRDefault="000115B2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C99089D" w:rsidR="00531811" w:rsidRPr="007B472A" w:rsidRDefault="000115B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61984EDE" w:rsidR="00615AE8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115B2">
              <w:rPr>
                <w:b/>
                <w:bCs/>
              </w:rPr>
              <w:t>9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724CE648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BC6DFD0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0115B2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C9E8FEA" w:rsidR="00771A38" w:rsidRPr="009B75A7" w:rsidRDefault="000115B2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15" w:type="dxa"/>
          </w:tcPr>
          <w:p w14:paraId="583B98F5" w14:textId="0DF42BCE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0115B2">
              <w:rPr>
                <w:bCs/>
              </w:rPr>
              <w:t>903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E263D07" w:rsidR="00771A38" w:rsidRPr="009B75A7" w:rsidRDefault="00CA0E75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0115B2">
              <w:rPr>
                <w:bCs/>
              </w:rPr>
              <w:t>8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526A230C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CA0E75">
              <w:rPr>
                <w:bCs/>
              </w:rPr>
              <w:t>7</w:t>
            </w:r>
            <w:r w:rsidR="000115B2">
              <w:rPr>
                <w:bCs/>
              </w:rPr>
              <w:t>65</w:t>
            </w:r>
            <w:r w:rsidR="001F0369">
              <w:rPr>
                <w:bCs/>
              </w:rPr>
              <w:t xml:space="preserve"> (</w:t>
            </w:r>
            <w:r w:rsidR="00CA0E75">
              <w:rPr>
                <w:bCs/>
              </w:rPr>
              <w:t>93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A936362" w:rsidR="00771A38" w:rsidRPr="009B75A7" w:rsidRDefault="000115B2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71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7C358C7D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115B2">
              <w:rPr>
                <w:bCs/>
              </w:rPr>
              <w:t>65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CA0E75">
              <w:rPr>
                <w:bCs/>
              </w:rPr>
              <w:t>9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F61468C" w:rsidR="00771A38" w:rsidRPr="009B75A7" w:rsidRDefault="000115B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29</w:t>
            </w:r>
            <w:r w:rsidR="00C57993">
              <w:rPr>
                <w:bCs/>
              </w:rPr>
              <w:t>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2B05941D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A0E75">
              <w:rPr>
                <w:bCs/>
              </w:rPr>
              <w:t>2</w:t>
            </w:r>
            <w:r w:rsidR="000115B2">
              <w:rPr>
                <w:bCs/>
              </w:rPr>
              <w:t>4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CA0E75">
              <w:rPr>
                <w:bCs/>
              </w:rPr>
              <w:t>1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62EB80A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0%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7E721B5B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0E75">
              <w:rPr>
                <w:bCs/>
              </w:rPr>
              <w:t>76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0E4629C7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61EF56A6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415DB3" w:rsidRDefault="00771A38" w:rsidP="002E3C1F">
            <w:pPr>
              <w:jc w:val="center"/>
              <w:rPr>
                <w:b/>
              </w:rPr>
            </w:pPr>
            <w:r w:rsidRPr="00415DB3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039874D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0115B2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35B89B63" w:rsidR="000D6C22" w:rsidRPr="00EC39E9" w:rsidRDefault="00415DB3" w:rsidP="004B030B">
            <w:pPr>
              <w:jc w:val="center"/>
              <w:rPr>
                <w:bCs/>
              </w:rPr>
            </w:pPr>
            <w:r>
              <w:rPr>
                <w:bCs/>
              </w:rPr>
              <w:t>1,248</w:t>
            </w:r>
          </w:p>
        </w:tc>
        <w:tc>
          <w:tcPr>
            <w:tcW w:w="2515" w:type="dxa"/>
          </w:tcPr>
          <w:p w14:paraId="783B27B2" w14:textId="02341E50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30,879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16E38702" w:rsidR="000D6C22" w:rsidRPr="00EC39E9" w:rsidRDefault="00415DB3" w:rsidP="000D6C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235 (19%) </w:t>
            </w:r>
          </w:p>
        </w:tc>
        <w:tc>
          <w:tcPr>
            <w:tcW w:w="2515" w:type="dxa"/>
          </w:tcPr>
          <w:p w14:paraId="04AD303C" w14:textId="014D166D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4,489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31BF2833" w:rsidR="000D6C22" w:rsidRPr="00EC39E9" w:rsidRDefault="00415DB3" w:rsidP="000D6C22">
            <w:pPr>
              <w:jc w:val="center"/>
              <w:rPr>
                <w:bCs/>
              </w:rPr>
            </w:pPr>
            <w:r>
              <w:rPr>
                <w:bCs/>
              </w:rPr>
              <w:t>125 (53%)</w:t>
            </w:r>
          </w:p>
        </w:tc>
        <w:tc>
          <w:tcPr>
            <w:tcW w:w="2515" w:type="dxa"/>
          </w:tcPr>
          <w:p w14:paraId="7F814D02" w14:textId="25D5E62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7B2542">
              <w:rPr>
                <w:bCs/>
              </w:rPr>
              <w:t>973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89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0D760984" w:rsidR="000D6C22" w:rsidRPr="00EC39E9" w:rsidRDefault="00415DB3" w:rsidP="000D6C22">
            <w:pPr>
              <w:jc w:val="center"/>
              <w:rPr>
                <w:bCs/>
              </w:rPr>
            </w:pPr>
            <w:r>
              <w:rPr>
                <w:bCs/>
              </w:rPr>
              <w:t>110 (47%)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82E55EA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516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4F8EE566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8D92C15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0115B2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815AB39" w:rsidR="0025564A" w:rsidRPr="009B75A7" w:rsidRDefault="00011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2515" w:type="dxa"/>
          </w:tcPr>
          <w:p w14:paraId="615F4E2C" w14:textId="7B27F06B" w:rsidR="0025564A" w:rsidRPr="004A56EB" w:rsidRDefault="00C57993" w:rsidP="000C44D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0115B2">
              <w:rPr>
                <w:bCs/>
              </w:rPr>
              <w:t>378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C3C246D" w:rsidR="0025564A" w:rsidRPr="009B75A7" w:rsidRDefault="00011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459</w:t>
            </w:r>
          </w:p>
        </w:tc>
        <w:tc>
          <w:tcPr>
            <w:tcW w:w="2515" w:type="dxa"/>
          </w:tcPr>
          <w:p w14:paraId="3EC6D09F" w14:textId="7E5330EB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2,812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09601327" w:rsidR="0025564A" w:rsidRPr="009B75A7" w:rsidRDefault="000115B2" w:rsidP="00FA5E32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54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3ED0B2C1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3,433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 w:rsidR="000115B2">
              <w:rPr>
                <w:bCs/>
              </w:rPr>
              <w:t>3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40675717" w:rsidR="0025564A" w:rsidRPr="009B75A7" w:rsidRDefault="000115B2" w:rsidP="00FB640F">
            <w:pPr>
              <w:jc w:val="center"/>
              <w:rPr>
                <w:bCs/>
              </w:rPr>
            </w:pPr>
            <w:r>
              <w:rPr>
                <w:bCs/>
              </w:rPr>
              <w:t>268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46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E9A040E" w:rsidR="0025564A" w:rsidRPr="004A56EB" w:rsidRDefault="00C57993" w:rsidP="009F53C2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0115B2">
              <w:rPr>
                <w:bCs/>
              </w:rPr>
              <w:t>757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 w:rsidR="000115B2"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4F90F0DD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20C45441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0115B2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291F5717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</w:t>
      </w:r>
      <w:r w:rsidR="00C74A2A">
        <w:rPr>
          <w:sz w:val="23"/>
          <w:szCs w:val="23"/>
        </w:rPr>
        <w:t>8.2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CB6918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0115B2">
        <w:rPr>
          <w:b/>
          <w:noProof/>
        </w:rPr>
        <w:t>3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71446C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097CE24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D898C76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2C07D179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785F1A7F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53E09ACF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1B0750C1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545854B4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531B2C2F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Moderate</w:t>
            </w:r>
          </w:p>
        </w:tc>
      </w:tr>
      <w:tr w:rsidR="0071446C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F3A68C9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75878714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7F8A8997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0CE496B6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7EB4C05E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5AB4F61E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62A04178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3682F51D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2744A7FE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62192139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48C47DB1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126E1D4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2628661C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53AB68F1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4634FB7E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533E8075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5735A2FD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1579362D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2C07E9B6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7722A892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96FF04F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78B5502E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A74E0E3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1AD9131F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Moderate</w:t>
            </w:r>
          </w:p>
        </w:tc>
      </w:tr>
      <w:tr w:rsidR="0071446C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034DBDB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3831C0CE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F98C39D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7F467B9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Moderate</w:t>
            </w:r>
          </w:p>
        </w:tc>
      </w:tr>
      <w:tr w:rsidR="0071446C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0458A2D8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1278A764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7DBC0A04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029731B0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64585CCA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3FA466B4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7303CE1B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7B7BFA42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0AED8CA4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2A34D38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473EBD15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580F2C83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678732D4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7D777E99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23DF02B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746EDEAC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1DE801D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7696CC6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73D1BC4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1EF2A084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32C93152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00FC955A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12F1AF90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1461416C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71446C" w:rsidRPr="00EC39E9" w:rsidRDefault="0071446C" w:rsidP="0071446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2CEAE01" w:rsidR="0071446C" w:rsidRPr="00B33FEE" w:rsidRDefault="0071446C" w:rsidP="00714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F1D7848" w:rsidR="0071446C" w:rsidRPr="00AE23ED" w:rsidRDefault="0071446C" w:rsidP="0071446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6C46873E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0A549D40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71446C">
              <w:rPr>
                <w:sz w:val="22"/>
                <w:szCs w:val="22"/>
              </w:rPr>
              <w:t>Low</w:t>
            </w:r>
          </w:p>
        </w:tc>
      </w:tr>
      <w:tr w:rsidR="0071446C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71446C" w:rsidRPr="00EC39E9" w:rsidRDefault="0071446C" w:rsidP="0071446C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162061E1" w:rsidR="0071446C" w:rsidRPr="0071446C" w:rsidRDefault="0071446C" w:rsidP="007144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4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4DF868D3" w:rsidR="0071446C" w:rsidRPr="00AE23ED" w:rsidRDefault="0071446C" w:rsidP="007144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71446C" w:rsidRPr="005C4665" w:rsidRDefault="0071446C" w:rsidP="0071446C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67E19C96" w:rsidR="00BD2082" w:rsidRDefault="003D67A7" w:rsidP="00076584">
      <w:pPr>
        <w:ind w:left="540"/>
        <w:rPr>
          <w:b/>
          <w:noProof/>
          <w:sz w:val="20"/>
          <w:szCs w:val="20"/>
        </w:rPr>
      </w:pPr>
      <w:r w:rsidRPr="003D67A7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147D5D35">
            <wp:simplePos x="0" y="0"/>
            <wp:positionH relativeFrom="column">
              <wp:posOffset>233680</wp:posOffset>
            </wp:positionH>
            <wp:positionV relativeFrom="paragraph">
              <wp:posOffset>201930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1F3B" w:rsidRPr="003D67A7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07B70D14">
            <wp:simplePos x="0" y="0"/>
            <wp:positionH relativeFrom="margin">
              <wp:posOffset>3678555</wp:posOffset>
            </wp:positionH>
            <wp:positionV relativeFrom="paragraph">
              <wp:posOffset>212090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3D67A7">
        <w:rPr>
          <w:b/>
          <w:noProof/>
          <w:sz w:val="20"/>
          <w:szCs w:val="20"/>
        </w:rPr>
        <w:t xml:space="preserve"> </w:t>
      </w:r>
      <w:r w:rsidR="00CE3A57" w:rsidRPr="003D67A7">
        <w:rPr>
          <w:b/>
          <w:noProof/>
          <w:sz w:val="20"/>
          <w:szCs w:val="20"/>
        </w:rPr>
        <w:t xml:space="preserve"> </w:t>
      </w:r>
      <w:r w:rsidR="00770445" w:rsidRPr="003D67A7">
        <w:rPr>
          <w:b/>
          <w:noProof/>
          <w:sz w:val="20"/>
          <w:szCs w:val="20"/>
        </w:rPr>
        <w:t xml:space="preserve">Influenza </w:t>
      </w:r>
      <w:r w:rsidR="00087213" w:rsidRPr="003D67A7">
        <w:rPr>
          <w:b/>
          <w:noProof/>
          <w:sz w:val="20"/>
          <w:szCs w:val="20"/>
        </w:rPr>
        <w:t>Activity</w:t>
      </w:r>
      <w:r w:rsidR="00266949" w:rsidRPr="003D67A7">
        <w:rPr>
          <w:b/>
          <w:noProof/>
          <w:sz w:val="20"/>
          <w:szCs w:val="20"/>
        </w:rPr>
        <w:t xml:space="preserve"> </w:t>
      </w:r>
      <w:r w:rsidR="00087213" w:rsidRPr="003D67A7">
        <w:rPr>
          <w:b/>
          <w:noProof/>
          <w:sz w:val="20"/>
          <w:szCs w:val="20"/>
        </w:rPr>
        <w:t>Trends</w:t>
      </w:r>
      <w:r w:rsidR="00770445" w:rsidRPr="003D67A7">
        <w:rPr>
          <w:b/>
          <w:noProof/>
          <w:sz w:val="20"/>
          <w:szCs w:val="20"/>
        </w:rPr>
        <w:t>,</w:t>
      </w:r>
      <w:r w:rsidR="00770445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>Maine,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0115B2">
        <w:rPr>
          <w:b/>
          <w:noProof/>
          <w:sz w:val="20"/>
          <w:szCs w:val="20"/>
        </w:rPr>
        <w:t>3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3D67A7">
        <w:rPr>
          <w:b/>
          <w:noProof/>
          <w:sz w:val="20"/>
          <w:szCs w:val="20"/>
        </w:rPr>
        <w:t>Influenza Severity Estimates,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0115B2">
        <w:rPr>
          <w:b/>
          <w:noProof/>
          <w:sz w:val="20"/>
          <w:szCs w:val="20"/>
        </w:rPr>
        <w:t>3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44A514C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53607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259919A6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42CA7C3" w:rsidR="00906328" w:rsidRPr="000870E7" w:rsidRDefault="0053607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E2E7842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74A2A">
              <w:rPr>
                <w:b/>
                <w:bCs/>
              </w:rPr>
              <w:t>46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E6D7774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C74A2A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3754108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672B58B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1D0D36B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5F058408" w:rsidR="00C74A2A" w:rsidRPr="009A1837" w:rsidRDefault="00C74A2A" w:rsidP="00C74A2A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2EE8902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2F8B889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386E0E6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02322B7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74A2A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39A25E3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3DBCD9E" w14:textId="31CB69F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688B929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5A80698" w14:textId="523FEDD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52BF50A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56F077F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7C8D27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17CBAFF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C74A2A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03A33D6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noWrap/>
            <w:vAlign w:val="bottom"/>
          </w:tcPr>
          <w:p w14:paraId="2E466281" w14:textId="128536A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5D3DAD6D" w14:textId="2C3A6B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1B116C2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50B7686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65CAE0E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0BC20A8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3AD0D7A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C74A2A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72F53D2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64B7E4A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79C992A" w14:textId="1BF28BF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6E5756D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5989E42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04888C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492AA47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788582F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C74A2A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197821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3D7848E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306AEF1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7A1F061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1FA9FAF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5BC6495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1C76A75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F9B6E6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74A2A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25E4044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2E26918" w14:textId="0FDB286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30432A2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60562B4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70CEB34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1725F68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F4C2A0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42CD6CC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74A2A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6D3D200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56CD414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00DB7E8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1054ABB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3BE607E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1BCA134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2937416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6E41EB2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7263492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3C3F44B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1D477C1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0181291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0772B8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3FD98D3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0C91849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1B5EA58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7907DA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76DCD2" w14:textId="60386DE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6ED2A4F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64545CE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4CCC99B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0F094FD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1F5AD1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0034F72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74A2A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4EFC3B3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68430070" w14:textId="03353A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078F733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5A82BFF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6EAFA8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3515D30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49A885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5DB24BA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74A2A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48E7380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488D51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0F4DDEA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14800C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723B53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2F741C4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222D170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519732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4A2A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3C1556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577C54E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5F2D195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64913C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4F8405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1BEE274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44D5D0A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10898B5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00D2D1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1389B94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1EABF71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161505D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71C5BE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3A01357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62A346D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65E72B3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34A1C28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30C9BC1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7B5C27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45DB1B9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21B0129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399E19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08AB400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1B5AF1B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647BF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687A4BB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7E9EF6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7697878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0FB8A1E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6B33CB1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4A426A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0B17691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0033EC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noWrap/>
            <w:vAlign w:val="bottom"/>
          </w:tcPr>
          <w:p w14:paraId="5FF2C6DC" w14:textId="261ECE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48FE8CB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A2FC2A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235B4EF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374A41D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458B25B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3C48D0C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C74A2A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C74A2A" w:rsidRPr="009A1837" w:rsidRDefault="00C74A2A" w:rsidP="00C74A2A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75796ABD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5" w:type="dxa"/>
            <w:noWrap/>
            <w:vAlign w:val="bottom"/>
          </w:tcPr>
          <w:p w14:paraId="69828353" w14:textId="0E860FF8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" w:type="dxa"/>
            <w:noWrap/>
            <w:vAlign w:val="bottom"/>
          </w:tcPr>
          <w:p w14:paraId="4EF4F4D9" w14:textId="7687CA02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5" w:type="dxa"/>
            <w:noWrap/>
            <w:vAlign w:val="bottom"/>
          </w:tcPr>
          <w:p w14:paraId="2661FFAD" w14:textId="6C01B52D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B0CAF72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769DAFA0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DD16D71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24BE9CE1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D351147" w14:textId="164A883E" w:rsidR="00C74A2A" w:rsidRPr="00C74A2A" w:rsidRDefault="000115B2" w:rsidP="00C74A2A">
      <w:pPr>
        <w:spacing w:before="100" w:beforeAutospacing="1" w:after="100" w:afterAutospacing="1"/>
      </w:pPr>
      <w:r w:rsidRPr="000115B2">
        <w:drawing>
          <wp:inline distT="0" distB="0" distL="0" distR="0" wp14:anchorId="740C09B6" wp14:editId="44597330">
            <wp:extent cx="6858000" cy="6257925"/>
            <wp:effectExtent l="0" t="0" r="0" b="9525"/>
            <wp:docPr id="342000743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00743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E383" w14:textId="325CDD28" w:rsidR="00D92C98" w:rsidRPr="00D92C98" w:rsidRDefault="00D92C98" w:rsidP="00D92C98">
      <w:pPr>
        <w:spacing w:before="100" w:beforeAutospacing="1" w:after="100" w:afterAutospacing="1"/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6.34</c:v>
                </c:pt>
                <c:pt idx="22">
                  <c:v>5.8</c:v>
                </c:pt>
                <c:pt idx="23">
                  <c:v>4.55</c:v>
                </c:pt>
                <c:pt idx="24">
                  <c:v>4.01</c:v>
                </c:pt>
                <c:pt idx="25">
                  <c:v>3.74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5.57</c:v>
                </c:pt>
                <c:pt idx="22">
                  <c:v>4.53</c:v>
                </c:pt>
                <c:pt idx="23">
                  <c:v>3.87</c:v>
                </c:pt>
                <c:pt idx="24">
                  <c:v>3.17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4</c:v>
                </c:pt>
                <c:pt idx="20">
                  <c:v>2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7.84</c:v>
                </c:pt>
                <c:pt idx="23">
                  <c:v>6.3</c:v>
                </c:pt>
                <c:pt idx="24">
                  <c:v>4.97</c:v>
                </c:pt>
                <c:pt idx="25">
                  <c:v>3.98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</c:v>
                </c:pt>
                <c:pt idx="25">
                  <c:v>0.52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149</c:v>
                </c:pt>
                <c:pt idx="22">
                  <c:v>121</c:v>
                </c:pt>
                <c:pt idx="23">
                  <c:v>90</c:v>
                </c:pt>
                <c:pt idx="24">
                  <c:v>52</c:v>
                </c:pt>
                <c:pt idx="25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8.7078651685393265</c:v>
                </c:pt>
                <c:pt idx="15">
                  <c:v>8.2822085889570545</c:v>
                </c:pt>
                <c:pt idx="16">
                  <c:v>8.86426592797784</c:v>
                </c:pt>
                <c:pt idx="17">
                  <c:v>7.4285714285714288</c:v>
                </c:pt>
                <c:pt idx="18">
                  <c:v>10.149253731343283</c:v>
                </c:pt>
                <c:pt idx="19">
                  <c:v>11.940298507462686</c:v>
                </c:pt>
                <c:pt idx="20">
                  <c:v>9.3939393939393927</c:v>
                </c:pt>
                <c:pt idx="21">
                  <c:v>10</c:v>
                </c:pt>
                <c:pt idx="22">
                  <c:v>12.5</c:v>
                </c:pt>
                <c:pt idx="23">
                  <c:v>9.121621621621621</c:v>
                </c:pt>
                <c:pt idx="24">
                  <c:v>10.701107011070111</c:v>
                </c:pt>
                <c:pt idx="25">
                  <c:v>6.4102564102564097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8.0517313308302043</c:v>
                </c:pt>
                <c:pt idx="24">
                  <c:v>6.2845303867403324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37</c:v>
                </c:pt>
                <c:pt idx="24">
                  <c:v>22</c:v>
                </c:pt>
                <c:pt idx="25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11</c:v>
                </c:pt>
                <c:pt idx="24">
                  <c:v>4</c:v>
                </c:pt>
                <c:pt idx="25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865</c:v>
                </c:pt>
                <c:pt idx="1">
                  <c:v>724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176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1027</c:v>
                </c:pt>
                <c:pt idx="23">
                  <c:v>769</c:v>
                </c:pt>
                <c:pt idx="24">
                  <c:v>518</c:v>
                </c:pt>
                <c:pt idx="25">
                  <c:v>312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311</c:v>
                </c:pt>
                <c:pt idx="23">
                  <c:v>305</c:v>
                </c:pt>
                <c:pt idx="24">
                  <c:v>300</c:v>
                </c:pt>
                <c:pt idx="25">
                  <c:v>268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33</c:v>
                </c:pt>
                <c:pt idx="1">
                  <c:v>82</c:v>
                </c:pt>
                <c:pt idx="2">
                  <c:v>160</c:v>
                </c:pt>
                <c:pt idx="3">
                  <c:v>296</c:v>
                </c:pt>
                <c:pt idx="4">
                  <c:v>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1699</c:v>
                </c:pt>
                <c:pt idx="1">
                  <c:v>4660</c:v>
                </c:pt>
                <c:pt idx="2">
                  <c:v>3751</c:v>
                </c:pt>
                <c:pt idx="3">
                  <c:v>2115</c:v>
                </c:pt>
                <c:pt idx="4">
                  <c:v>2617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830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8</cp:revision>
  <cp:lastPrinted>2025-01-21T18:02:00Z</cp:lastPrinted>
  <dcterms:created xsi:type="dcterms:W3CDTF">2025-04-01T14:35:00Z</dcterms:created>
  <dcterms:modified xsi:type="dcterms:W3CDTF">2025-04-01T17:06:00Z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