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50A208A3" w:rsidR="00272295" w:rsidRDefault="000E60E3" w:rsidP="00697B1E">
      <w:r>
        <w:t xml:space="preserve">March </w:t>
      </w:r>
      <w:r w:rsidR="00750095">
        <w:t>25</w:t>
      </w:r>
      <w:r w:rsidR="00337F3B">
        <w:t>, 202</w:t>
      </w:r>
      <w:r w:rsidR="00B75D30">
        <w:t>5</w:t>
      </w:r>
    </w:p>
    <w:p w14:paraId="4E65E6AD" w14:textId="252CBF14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750095">
        <w:t>2</w:t>
      </w:r>
      <w:r w:rsidR="00816D7A" w:rsidRPr="00FD1CC0">
        <w:t xml:space="preserve"> (ending </w:t>
      </w:r>
      <w:r w:rsidR="000E60E3">
        <w:t>3/</w:t>
      </w:r>
      <w:r w:rsidR="00750095">
        <w:t>22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C827BB">
        <w:rPr>
          <w:b/>
          <w:bCs/>
        </w:rPr>
        <w:t>U</w:t>
      </w:r>
      <w:r w:rsidR="00531811" w:rsidRPr="00C827BB">
        <w:rPr>
          <w:b/>
          <w:bCs/>
        </w:rPr>
        <w:t>.S. Outpatient</w:t>
      </w:r>
      <w:r w:rsidR="00531811" w:rsidRPr="00555EB2">
        <w:rPr>
          <w:b/>
          <w:bCs/>
        </w:rPr>
        <w:t xml:space="preserve">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1DC61198" w:rsidR="00673D41" w:rsidRPr="00615AE8" w:rsidRDefault="00C827BB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4.51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40C40E4F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50ABD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BD1FABC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1F7F7284" w:rsidR="005C2BB6" w:rsidRPr="00364EE2" w:rsidRDefault="00C5799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5.15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41CF4378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C57993">
              <w:rPr>
                <w:b/>
                <w:bCs/>
              </w:rPr>
              <w:t>87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2062D423" w:rsidR="00F226A4" w:rsidRPr="005B36F3" w:rsidRDefault="00C5799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6D2B966F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C57993">
              <w:rPr>
                <w:b/>
                <w:bCs/>
              </w:rPr>
              <w:t>278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63B7B522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2E927A15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41614CD8" w:rsidR="00531811" w:rsidRPr="00615AE8" w:rsidRDefault="00C57993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8.28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E487888" w:rsidR="00531811" w:rsidRPr="007B472A" w:rsidRDefault="00C5799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66F8F4EF" w:rsidR="00615AE8" w:rsidRPr="006454D1" w:rsidRDefault="00C5799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25ABFD9F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A157A1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57993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211DBF0" w:rsidR="00771A38" w:rsidRPr="009B75A7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515" w:type="dxa"/>
          </w:tcPr>
          <w:p w14:paraId="583B98F5" w14:textId="173E9D17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C57993">
              <w:rPr>
                <w:bCs/>
              </w:rPr>
              <w:t>842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08E38BE1" w:rsidR="00771A38" w:rsidRPr="009B75A7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50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7016B601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7B472A">
              <w:rPr>
                <w:bCs/>
              </w:rPr>
              <w:t>6</w:t>
            </w:r>
            <w:r w:rsidR="00C57993">
              <w:rPr>
                <w:bCs/>
              </w:rPr>
              <w:t>93</w:t>
            </w:r>
            <w:r w:rsidR="001F0369">
              <w:rPr>
                <w:bCs/>
              </w:rPr>
              <w:t xml:space="preserve"> (</w:t>
            </w:r>
            <w:r w:rsidR="00E0185A">
              <w:rPr>
                <w:bCs/>
              </w:rPr>
              <w:t>9</w:t>
            </w:r>
            <w:r w:rsidR="00C57993">
              <w:rPr>
                <w:bCs/>
              </w:rPr>
              <w:t>2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1ABC8C3C" w:rsidR="00771A38" w:rsidRPr="009B75A7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72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1F2959A3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809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>
              <w:rPr>
                <w:bCs/>
              </w:rPr>
              <w:t>8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D339DBF" w:rsidR="00771A38" w:rsidRPr="009B75A7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28%</w:t>
            </w:r>
            <w:r w:rsidR="00CA42EE">
              <w:rPr>
                <w:bCs/>
              </w:rPr>
              <w:t>)</w:t>
            </w:r>
          </w:p>
        </w:tc>
        <w:tc>
          <w:tcPr>
            <w:tcW w:w="2515" w:type="dxa"/>
          </w:tcPr>
          <w:p w14:paraId="13E709C4" w14:textId="536E4B54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709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7B472A">
              <w:rPr>
                <w:bCs/>
              </w:rPr>
              <w:t>2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762EB80A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0%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612AE67A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B472A">
              <w:rPr>
                <w:bCs/>
              </w:rPr>
              <w:t>5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</w:t>
            </w:r>
            <w:r w:rsidR="00C57993">
              <w:rPr>
                <w:bCs/>
              </w:rPr>
              <w:t>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28859D0E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3D84457D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7B2542" w:rsidRDefault="00771A38" w:rsidP="002E3C1F">
            <w:pPr>
              <w:jc w:val="center"/>
              <w:rPr>
                <w:b/>
              </w:rPr>
            </w:pPr>
            <w:r w:rsidRPr="007B2542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BA3924E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57993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3AC97952" w:rsidR="000D6C22" w:rsidRPr="00EC39E9" w:rsidRDefault="007B2542" w:rsidP="004B030B">
            <w:pPr>
              <w:jc w:val="center"/>
              <w:rPr>
                <w:bCs/>
              </w:rPr>
            </w:pPr>
            <w:r>
              <w:rPr>
                <w:bCs/>
              </w:rPr>
              <w:t>1,435</w:t>
            </w:r>
          </w:p>
        </w:tc>
        <w:tc>
          <w:tcPr>
            <w:tcW w:w="2515" w:type="dxa"/>
          </w:tcPr>
          <w:p w14:paraId="783B27B2" w14:textId="02341E50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30,879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5A866274" w:rsidR="000D6C22" w:rsidRPr="00EC39E9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349 (24%)</w:t>
            </w:r>
          </w:p>
        </w:tc>
        <w:tc>
          <w:tcPr>
            <w:tcW w:w="2515" w:type="dxa"/>
          </w:tcPr>
          <w:p w14:paraId="04AD303C" w14:textId="014D166D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4,489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74993077" w:rsidR="000D6C22" w:rsidRPr="00EC39E9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252 (83%)</w:t>
            </w:r>
          </w:p>
        </w:tc>
        <w:tc>
          <w:tcPr>
            <w:tcW w:w="2515" w:type="dxa"/>
          </w:tcPr>
          <w:p w14:paraId="7F814D02" w14:textId="25D5E62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7B2542">
              <w:rPr>
                <w:bCs/>
              </w:rPr>
              <w:t>973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89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4834B29B" w:rsidR="000D6C22" w:rsidRPr="00EC39E9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97 (17%)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82E55EA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516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11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63396FA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08E2B45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57993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39A3154E" w:rsidR="0025564A" w:rsidRPr="009B75A7" w:rsidRDefault="00C57993" w:rsidP="000C44D2">
            <w:pPr>
              <w:jc w:val="center"/>
              <w:rPr>
                <w:bCs/>
              </w:rPr>
            </w:pPr>
            <w:r>
              <w:rPr>
                <w:bCs/>
              </w:rPr>
              <w:t>234</w:t>
            </w:r>
          </w:p>
        </w:tc>
        <w:tc>
          <w:tcPr>
            <w:tcW w:w="2515" w:type="dxa"/>
          </w:tcPr>
          <w:p w14:paraId="615F4E2C" w14:textId="6897F5FA" w:rsidR="0025564A" w:rsidRPr="004A56EB" w:rsidRDefault="00C57993" w:rsidP="000C44D2">
            <w:pPr>
              <w:jc w:val="center"/>
              <w:rPr>
                <w:bCs/>
              </w:rPr>
            </w:pPr>
            <w:r>
              <w:rPr>
                <w:bCs/>
              </w:rPr>
              <w:t>3,057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54D45B22" w:rsidR="0025564A" w:rsidRPr="009B75A7" w:rsidRDefault="00C57993" w:rsidP="000C44D2">
            <w:pPr>
              <w:jc w:val="center"/>
              <w:rPr>
                <w:bCs/>
              </w:rPr>
            </w:pPr>
            <w:r>
              <w:rPr>
                <w:bCs/>
              </w:rPr>
              <w:t>837</w:t>
            </w:r>
          </w:p>
        </w:tc>
        <w:tc>
          <w:tcPr>
            <w:tcW w:w="2515" w:type="dxa"/>
          </w:tcPr>
          <w:p w14:paraId="3EC6D09F" w14:textId="6481A6F8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7993">
              <w:rPr>
                <w:bCs/>
              </w:rPr>
              <w:t>1,729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637805A" w:rsidR="0025564A" w:rsidRPr="009B75A7" w:rsidRDefault="00C57993" w:rsidP="00FA5E32">
            <w:pPr>
              <w:jc w:val="center"/>
              <w:rPr>
                <w:bCs/>
              </w:rPr>
            </w:pPr>
            <w:r>
              <w:rPr>
                <w:bCs/>
              </w:rPr>
              <w:t>769</w:t>
            </w:r>
            <w:r w:rsidR="00AA1086">
              <w:rPr>
                <w:bCs/>
              </w:rPr>
              <w:t xml:space="preserve"> (</w:t>
            </w:r>
            <w:r w:rsidR="00D92C98">
              <w:rPr>
                <w:bCs/>
              </w:rPr>
              <w:t>7</w:t>
            </w:r>
            <w:r>
              <w:rPr>
                <w:bCs/>
              </w:rPr>
              <w:t>2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05C3ADCC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7993">
              <w:rPr>
                <w:bCs/>
              </w:rPr>
              <w:t>2,598</w:t>
            </w:r>
            <w:r w:rsidR="00AA1086">
              <w:rPr>
                <w:bCs/>
              </w:rPr>
              <w:t xml:space="preserve"> (</w:t>
            </w:r>
            <w:r w:rsidR="00600440">
              <w:rPr>
                <w:bCs/>
              </w:rPr>
              <w:t>8</w:t>
            </w:r>
            <w:r w:rsidR="00C57993">
              <w:rPr>
                <w:bCs/>
              </w:rPr>
              <w:t>5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2AD6F70" w:rsidR="0025564A" w:rsidRPr="009B75A7" w:rsidRDefault="00D92C98" w:rsidP="00FB640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57993">
              <w:rPr>
                <w:bCs/>
              </w:rPr>
              <w:t>02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2</w:t>
            </w:r>
            <w:r w:rsidR="00C57993"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37C38E7E" w:rsidR="0025564A" w:rsidRPr="004A56EB" w:rsidRDefault="00C57993" w:rsidP="009F53C2">
            <w:pPr>
              <w:jc w:val="center"/>
              <w:rPr>
                <w:bCs/>
              </w:rPr>
            </w:pPr>
            <w:r>
              <w:rPr>
                <w:bCs/>
              </w:rPr>
              <w:t>2,188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07B06D5D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D697283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C57993">
        <w:rPr>
          <w:sz w:val="23"/>
          <w:szCs w:val="23"/>
        </w:rPr>
        <w:t>5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70D4B09B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</w:t>
      </w:r>
      <w:r w:rsidR="00C57993">
        <w:rPr>
          <w:sz w:val="23"/>
          <w:szCs w:val="23"/>
        </w:rPr>
        <w:t>7.7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0073F5CB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C57993">
        <w:rPr>
          <w:b/>
          <w:noProof/>
        </w:rPr>
        <w:t>1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C57993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4C23BFB3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2AAFC575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4D673080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24E87D4D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A643B9E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88486C6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7E38B28E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70C7192D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89C306F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7A6FBD12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4FFFD0C0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0D8959BC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Low</w:t>
            </w:r>
          </w:p>
        </w:tc>
      </w:tr>
      <w:tr w:rsidR="00C57993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30F3619D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67ACF86C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01F634AA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76C39774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56AA9677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66D2BC52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3AC879D4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78E0133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6B248E77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466EDA7C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096ACC0B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41540D1F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Low</w:t>
            </w:r>
          </w:p>
        </w:tc>
      </w:tr>
      <w:tr w:rsidR="00C57993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15FCE425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674294A8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4D5D40B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147873A6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3BECFBC4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560C82E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657A020F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56A9AD03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033B96B1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05DBFBA1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6E6F6E72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4A5EB738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High</w:t>
            </w:r>
          </w:p>
        </w:tc>
      </w:tr>
      <w:tr w:rsidR="00C57993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3D0817BA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333F6E2F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74F26007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7594796E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F3D4E24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05B5B22B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64483A73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09E877B7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0EF3ED1E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3958E3F1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45B41C29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20F275D2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Low</w:t>
            </w:r>
          </w:p>
        </w:tc>
      </w:tr>
      <w:tr w:rsidR="00C57993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27E209E8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416CE0F8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5901A9AB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347BB42D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Low</w:t>
            </w:r>
          </w:p>
        </w:tc>
      </w:tr>
      <w:tr w:rsidR="00C57993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717A95C3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48F45622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1767210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2BBB9229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28864D5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0FA0C8A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3C2CFB12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7CA5C196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Low</w:t>
            </w:r>
          </w:p>
        </w:tc>
      </w:tr>
      <w:tr w:rsidR="00C57993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C57993" w:rsidRPr="00EC39E9" w:rsidRDefault="00C57993" w:rsidP="00C57993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6542E769" w:rsidR="00C57993" w:rsidRPr="00B33FEE" w:rsidRDefault="00C57993" w:rsidP="00C57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503C8E9" w:rsidR="00C57993" w:rsidRPr="00AE23ED" w:rsidRDefault="00C57993" w:rsidP="00C5799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75690998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74F6D9CB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C57993">
              <w:rPr>
                <w:sz w:val="22"/>
                <w:szCs w:val="22"/>
              </w:rPr>
              <w:t>Moderate</w:t>
            </w:r>
          </w:p>
        </w:tc>
      </w:tr>
      <w:tr w:rsidR="00C57993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C57993" w:rsidRPr="00EC39E9" w:rsidRDefault="00C57993" w:rsidP="00C57993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761AA34C" w:rsidR="00C57993" w:rsidRPr="00C57993" w:rsidRDefault="00C57993" w:rsidP="00C579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79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3181AE7" w:rsidR="00C57993" w:rsidRPr="00AE23ED" w:rsidRDefault="00C57993" w:rsidP="00C579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C57993" w:rsidRPr="005C4665" w:rsidRDefault="00C57993" w:rsidP="00C57993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5208A25A" w:rsidR="00BD2082" w:rsidRDefault="000B0F7E" w:rsidP="00076584">
      <w:pPr>
        <w:ind w:left="540"/>
        <w:rPr>
          <w:b/>
          <w:noProof/>
          <w:sz w:val="20"/>
          <w:szCs w:val="20"/>
        </w:rPr>
      </w:pPr>
      <w:r w:rsidRPr="000B0F7E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4923EBCE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5949" w:rsidRPr="000B0F7E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63F50093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0B0F7E">
        <w:rPr>
          <w:b/>
          <w:noProof/>
          <w:sz w:val="20"/>
          <w:szCs w:val="20"/>
        </w:rPr>
        <w:t xml:space="preserve"> </w:t>
      </w:r>
      <w:r w:rsidR="00CE3A57" w:rsidRPr="000B0F7E">
        <w:rPr>
          <w:b/>
          <w:noProof/>
          <w:sz w:val="20"/>
          <w:szCs w:val="20"/>
        </w:rPr>
        <w:t xml:space="preserve"> </w:t>
      </w:r>
      <w:r w:rsidR="00770445" w:rsidRPr="000B0F7E">
        <w:rPr>
          <w:b/>
          <w:noProof/>
          <w:sz w:val="20"/>
          <w:szCs w:val="20"/>
        </w:rPr>
        <w:t xml:space="preserve">Influenza </w:t>
      </w:r>
      <w:r w:rsidR="00087213" w:rsidRPr="000B0F7E">
        <w:rPr>
          <w:b/>
          <w:noProof/>
          <w:sz w:val="20"/>
          <w:szCs w:val="20"/>
        </w:rPr>
        <w:t>Activity</w:t>
      </w:r>
      <w:r w:rsidR="00266949" w:rsidRPr="000B0F7E">
        <w:rPr>
          <w:b/>
          <w:noProof/>
          <w:sz w:val="20"/>
          <w:szCs w:val="20"/>
        </w:rPr>
        <w:t xml:space="preserve"> </w:t>
      </w:r>
      <w:r w:rsidR="00087213" w:rsidRPr="000B0F7E">
        <w:rPr>
          <w:b/>
          <w:noProof/>
          <w:sz w:val="20"/>
          <w:szCs w:val="20"/>
        </w:rPr>
        <w:t>Trends</w:t>
      </w:r>
      <w:r w:rsidR="00770445" w:rsidRPr="00A35949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7B472A">
        <w:rPr>
          <w:b/>
          <w:noProof/>
          <w:sz w:val="20"/>
          <w:szCs w:val="20"/>
        </w:rPr>
        <w:t>1</w:t>
      </w:r>
      <w:r w:rsidR="00C57993">
        <w:rPr>
          <w:b/>
          <w:noProof/>
          <w:sz w:val="20"/>
          <w:szCs w:val="20"/>
        </w:rPr>
        <w:t>1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0B0F7E">
        <w:rPr>
          <w:b/>
          <w:noProof/>
          <w:sz w:val="20"/>
          <w:szCs w:val="20"/>
        </w:rPr>
        <w:t>Influenza Severity Estimates</w:t>
      </w:r>
      <w:r w:rsidR="00670637" w:rsidRPr="00A35949">
        <w:rPr>
          <w:b/>
          <w:noProof/>
          <w:sz w:val="20"/>
          <w:szCs w:val="20"/>
        </w:rPr>
        <w:t>,</w:t>
      </w:r>
      <w:r w:rsidR="00670637" w:rsidRPr="006130CA">
        <w:rPr>
          <w:b/>
          <w:noProof/>
          <w:sz w:val="20"/>
          <w:szCs w:val="20"/>
        </w:rPr>
        <w:t xml:space="preserve">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7B472A">
        <w:rPr>
          <w:b/>
          <w:noProof/>
          <w:sz w:val="20"/>
          <w:szCs w:val="20"/>
        </w:rPr>
        <w:t>1</w:t>
      </w:r>
      <w:r w:rsidR="00C57993">
        <w:rPr>
          <w:b/>
          <w:noProof/>
          <w:sz w:val="20"/>
          <w:szCs w:val="20"/>
        </w:rPr>
        <w:t>1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66C7BB58" w:rsidR="00B62A80" w:rsidRPr="009F53C2" w:rsidRDefault="00611E6D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885" w:type="dxa"/>
          </w:tcPr>
          <w:p w14:paraId="75F459AB" w14:textId="0C5A244B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355F3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1B95C1BA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4AE96A5F" w:rsidR="00906328" w:rsidRPr="000870E7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55F36"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6133F21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55F36">
              <w:rPr>
                <w:b/>
                <w:bCs/>
              </w:rPr>
              <w:t>40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3CE67ADB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355F36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1BBE338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7D0CDB5B" w14:textId="1389102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162B72D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3D8C1ACC" w:rsidR="00355F36" w:rsidRPr="009A1837" w:rsidRDefault="00355F36" w:rsidP="00355F36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14B7FD3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4B5F3583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4BC5915B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6C08E6B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55F36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01C3E8E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3DBCD9E" w14:textId="497B396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56E0147A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5A80698" w14:textId="28A89BF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64DAA21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34B2B59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0D8F4FA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509A5BF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355F36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14384FE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5" w:type="dxa"/>
            <w:noWrap/>
            <w:vAlign w:val="bottom"/>
          </w:tcPr>
          <w:p w14:paraId="2E466281" w14:textId="6548A37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5D3DAD6D" w14:textId="2F05214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437420F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63D55FC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0D59CC1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273C370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299B80F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355F36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512E743E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5136227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79C992A" w14:textId="285D385E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3D215C0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64DF49E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CCB03C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3C6B070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0386863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55F36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74A6AE7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1FD6876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47A090D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5FA5D30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0EBF724E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0E7BD07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04473BE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F938F3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55F36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60357D03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2E26918" w14:textId="36AB8E0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6A1E6" w14:textId="333182C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28BDAC6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2B8F922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5F0E1698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5617B08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2C3ED63B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355F36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7495AD7B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39F59D2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0B815D7B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00FFBD33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12B83F5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58CA56C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040DC67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705F4C2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55F36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0E10A04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0F88C3E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2B36FF0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29B70B9A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411BA2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15330E2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27BA393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5297E6B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55F36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7B949338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76DCD2" w14:textId="05ADF76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7FC1DEDA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560FB25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3865EE2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4315724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770F362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4633205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55F36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117E308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3170389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102CBB4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4D4445A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7CC5BA0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210BF48E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57436B8A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0F4F908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55F36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027CD5D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49D53CA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6663DC8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42778E4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3115BC7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573AB633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1F5AE9E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32855223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55F36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64824A0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441F74B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0AFFFAF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5741B29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098AB058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7C875408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65A90393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7A4BB19B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55F36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4D14C8F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F688715" w14:textId="5568F26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5CFC065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3E79149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3871AE7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0522BF4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1B36AA30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760DE0E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55F36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15AA86F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5F67A01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820549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64EBF71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1466D7AE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13C7925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350A0E29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41F090A8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55F36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6BBD6A12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47F2DDFA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21AFDF5F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21706B9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4CF47B2B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7E794D5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3FC5D81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26E85A6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55F36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355F36" w:rsidRPr="009A1837" w:rsidRDefault="00355F36" w:rsidP="00355F36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596BFF61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365E6377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3DEF02E5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DD21FCC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04B134BE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637937CD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14401224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4224D006" w:rsidR="00355F36" w:rsidRPr="009A1837" w:rsidRDefault="00355F36" w:rsidP="00355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355F36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355F36" w:rsidRPr="009A1837" w:rsidRDefault="00355F36" w:rsidP="00355F36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47C40D50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5" w:type="dxa"/>
            <w:noWrap/>
            <w:vAlign w:val="bottom"/>
          </w:tcPr>
          <w:p w14:paraId="69828353" w14:textId="6DD39354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2" w:type="dxa"/>
            <w:noWrap/>
            <w:vAlign w:val="bottom"/>
          </w:tcPr>
          <w:p w14:paraId="4EF4F4D9" w14:textId="57697B1D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5" w:type="dxa"/>
            <w:noWrap/>
            <w:vAlign w:val="bottom"/>
          </w:tcPr>
          <w:p w14:paraId="2661FFAD" w14:textId="444D12B6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61E9D0A6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432AC0B9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097635FA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2CD73046" w:rsidR="00355F36" w:rsidRPr="00611E6D" w:rsidRDefault="00355F36" w:rsidP="00355F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4E62E383" w14:textId="3992162C" w:rsidR="00D92C98" w:rsidRPr="00D92C98" w:rsidRDefault="00C57993" w:rsidP="00D92C98">
      <w:pPr>
        <w:spacing w:before="100" w:beforeAutospacing="1" w:after="100" w:afterAutospacing="1"/>
      </w:pPr>
      <w:r w:rsidRPr="00C57993">
        <w:rPr>
          <w:noProof/>
        </w:rPr>
        <w:drawing>
          <wp:inline distT="0" distB="0" distL="0" distR="0" wp14:anchorId="1ACB3C85" wp14:editId="24750D75">
            <wp:extent cx="6858000" cy="6292215"/>
            <wp:effectExtent l="0" t="0" r="0" b="0"/>
            <wp:docPr id="44113376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3376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6.34</c:v>
                </c:pt>
                <c:pt idx="22">
                  <c:v>5.77</c:v>
                </c:pt>
                <c:pt idx="23">
                  <c:v>4.51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7.28</c:v>
                </c:pt>
                <c:pt idx="21">
                  <c:v>5.55</c:v>
                </c:pt>
                <c:pt idx="22">
                  <c:v>4.46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15</c:v>
                </c:pt>
                <c:pt idx="21">
                  <c:v>12</c:v>
                </c:pt>
                <c:pt idx="2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4</c:v>
                </c:pt>
                <c:pt idx="20">
                  <c:v>2</c:v>
                </c:pt>
                <c:pt idx="2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8.59</c:v>
                </c:pt>
                <c:pt idx="22">
                  <c:v>7.43</c:v>
                </c:pt>
                <c:pt idx="23">
                  <c:v>5.15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196</c:v>
                </c:pt>
                <c:pt idx="20">
                  <c:v>163</c:v>
                </c:pt>
                <c:pt idx="21">
                  <c:v>147</c:v>
                </c:pt>
                <c:pt idx="22">
                  <c:v>121</c:v>
                </c:pt>
                <c:pt idx="23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8.7323943661971821</c:v>
                </c:pt>
                <c:pt idx="15">
                  <c:v>8.4905660377358494</c:v>
                </c:pt>
                <c:pt idx="16">
                  <c:v>8.8888888888888893</c:v>
                </c:pt>
                <c:pt idx="17">
                  <c:v>7.4712643678160928</c:v>
                </c:pt>
                <c:pt idx="18">
                  <c:v>10.271903323262841</c:v>
                </c:pt>
                <c:pt idx="19">
                  <c:v>12.269938650306749</c:v>
                </c:pt>
                <c:pt idx="20">
                  <c:v>10.064935064935066</c:v>
                </c:pt>
                <c:pt idx="21">
                  <c:v>10.465116279069768</c:v>
                </c:pt>
                <c:pt idx="22">
                  <c:v>12.820512820512819</c:v>
                </c:pt>
                <c:pt idx="23">
                  <c:v>8.2758620689655178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9.8207326578332026</c:v>
                </c:pt>
                <c:pt idx="22">
                  <c:v>9.824747742963357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50</c:v>
                </c:pt>
                <c:pt idx="23">
                  <c:v>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28</c:v>
                </c:pt>
                <c:pt idx="23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809</c:v>
                </c:pt>
                <c:pt idx="1">
                  <c:v>709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175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32</c:v>
                </c:pt>
                <c:pt idx="1">
                  <c:v>76</c:v>
                </c:pt>
                <c:pt idx="2">
                  <c:v>150</c:v>
                </c:pt>
                <c:pt idx="3">
                  <c:v>273</c:v>
                </c:pt>
                <c:pt idx="4">
                  <c:v>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1574</c:v>
                </c:pt>
                <c:pt idx="1">
                  <c:v>4185</c:v>
                </c:pt>
                <c:pt idx="2">
                  <c:v>3405</c:v>
                </c:pt>
                <c:pt idx="3">
                  <c:v>1970</c:v>
                </c:pt>
                <c:pt idx="4">
                  <c:v>2418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830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10</cp:revision>
  <cp:lastPrinted>2025-01-21T18:02:00Z</cp:lastPrinted>
  <dcterms:created xsi:type="dcterms:W3CDTF">2025-03-18T14:54:00Z</dcterms:created>
  <dcterms:modified xsi:type="dcterms:W3CDTF">2025-03-25T15:57:00Z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