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3C9365CD" w:rsidR="00272295" w:rsidRDefault="000E60E3" w:rsidP="00697B1E">
      <w:r>
        <w:t xml:space="preserve">March </w:t>
      </w:r>
      <w:r w:rsidR="007B472A">
        <w:t>11</w:t>
      </w:r>
      <w:r w:rsidR="00337F3B">
        <w:t>, 202</w:t>
      </w:r>
      <w:r w:rsidR="00B75D30">
        <w:t>5</w:t>
      </w:r>
    </w:p>
    <w:p w14:paraId="4E65E6AD" w14:textId="62978ADA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B472A">
        <w:t>10</w:t>
      </w:r>
      <w:r w:rsidR="00816D7A" w:rsidRPr="00FD1CC0">
        <w:t xml:space="preserve"> (ending </w:t>
      </w:r>
      <w:r w:rsidR="000E60E3">
        <w:t>3/</w:t>
      </w:r>
      <w:r w:rsidR="007B472A">
        <w:t>8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450ABD">
        <w:rPr>
          <w:b/>
          <w:bCs/>
        </w:rPr>
        <w:t>U</w:t>
      </w:r>
      <w:r w:rsidR="00531811" w:rsidRPr="00450ABD">
        <w:rPr>
          <w:b/>
          <w:bCs/>
        </w:rPr>
        <w:t>.S. Outpatient</w:t>
      </w:r>
      <w:r w:rsidR="00531811" w:rsidRPr="00555EB2">
        <w:rPr>
          <w:b/>
          <w:bCs/>
        </w:rPr>
        <w:t xml:space="preserve"> Influenza-like</w:t>
      </w:r>
      <w:r w:rsidR="00531811">
        <w:rPr>
          <w:b/>
          <w:bCs/>
        </w:rPr>
        <w:t xml:space="preserve">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03D663D0" w:rsidR="00673D41" w:rsidRPr="00615AE8" w:rsidRDefault="007B472A" w:rsidP="007B472A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5.77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40C40E4F" w:rsidR="00673D41" w:rsidRPr="00F54653" w:rsidRDefault="00E0185A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50ABD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259702E4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0B5BA054" w:rsidR="005C2BB6" w:rsidRPr="00364EE2" w:rsidRDefault="007B472A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6.69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1E5D3CC5" w:rsidR="005C2BB6" w:rsidRPr="00FE11DD" w:rsidRDefault="000E60E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7B472A">
              <w:rPr>
                <w:b/>
                <w:bCs/>
              </w:rPr>
              <w:t>92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2261FA6C" w:rsidR="00F226A4" w:rsidRPr="005B36F3" w:rsidRDefault="005D186C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B472A">
              <w:rPr>
                <w:b/>
                <w:bCs/>
              </w:rPr>
              <w:t>09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265D2332" w:rsidR="00F226A4" w:rsidRPr="00FE11DD" w:rsidRDefault="000E60E3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7B472A">
              <w:rPr>
                <w:b/>
                <w:bCs/>
              </w:rPr>
              <w:t>184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72004D42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70AFE220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0023A8AE" w:rsidR="00531811" w:rsidRPr="00615AE8" w:rsidRDefault="00E0185A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E60E3">
              <w:rPr>
                <w:b/>
                <w:bCs/>
              </w:rPr>
              <w:t>2.</w:t>
            </w:r>
            <w:r w:rsidR="007B472A">
              <w:rPr>
                <w:b/>
                <w:bCs/>
              </w:rPr>
              <w:t>34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2086D695" w:rsidR="00531811" w:rsidRPr="007B472A" w:rsidRDefault="007B472A" w:rsidP="0027262B">
            <w:pPr>
              <w:jc w:val="center"/>
              <w:rPr>
                <w:b/>
                <w:bCs/>
              </w:rPr>
            </w:pPr>
            <w:r w:rsidRPr="007B472A">
              <w:rPr>
                <w:b/>
                <w:bCs/>
              </w:rPr>
              <w:t>7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6BB4E69B" w:rsidR="00615AE8" w:rsidRPr="006454D1" w:rsidRDefault="007B472A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E60E3">
              <w:rPr>
                <w:b/>
                <w:bCs/>
              </w:rPr>
              <w:t>4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0D5242A8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3E0046AD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7F0EE5FD" w:rsidR="00771A38" w:rsidRPr="009B75A7" w:rsidRDefault="007B472A" w:rsidP="004B40FE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2515" w:type="dxa"/>
          </w:tcPr>
          <w:p w14:paraId="583B98F5" w14:textId="6AF096A7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</w:t>
            </w:r>
            <w:r w:rsidR="007B472A">
              <w:rPr>
                <w:bCs/>
              </w:rPr>
              <w:t>767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0286636B" w:rsidR="00771A38" w:rsidRPr="009B75A7" w:rsidRDefault="007B472A" w:rsidP="004B40FE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39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743B3C70" w:rsidR="00771A38" w:rsidRPr="003D117B" w:rsidRDefault="009A4153" w:rsidP="00EC39E9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7B472A">
              <w:rPr>
                <w:bCs/>
              </w:rPr>
              <w:t>607</w:t>
            </w:r>
            <w:r w:rsidR="001F0369">
              <w:rPr>
                <w:bCs/>
              </w:rPr>
              <w:t xml:space="preserve"> (</w:t>
            </w:r>
            <w:r w:rsidR="00E0185A">
              <w:rPr>
                <w:bCs/>
              </w:rPr>
              <w:t>9</w:t>
            </w:r>
            <w:r w:rsidR="007B472A">
              <w:rPr>
                <w:bCs/>
              </w:rPr>
              <w:t>1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00AB078F" w:rsidR="00771A38" w:rsidRPr="009B75A7" w:rsidRDefault="007B472A" w:rsidP="004B40F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68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1E21B138" w:rsidR="00771A38" w:rsidRPr="003D117B" w:rsidRDefault="00D92C98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7B472A">
              <w:rPr>
                <w:bCs/>
              </w:rPr>
              <w:t>52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7B472A">
              <w:rPr>
                <w:bCs/>
              </w:rPr>
              <w:t>7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0BD997E5" w:rsidR="00771A38" w:rsidRPr="009B75A7" w:rsidRDefault="007B472A" w:rsidP="004B40F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32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13E709C4" w14:textId="4602B2C9" w:rsidR="00771A38" w:rsidRPr="003D117B" w:rsidRDefault="007B472A" w:rsidP="004B40FE">
            <w:pPr>
              <w:jc w:val="center"/>
              <w:rPr>
                <w:bCs/>
              </w:rPr>
            </w:pPr>
            <w:r>
              <w:rPr>
                <w:bCs/>
              </w:rPr>
              <w:t>680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>
              <w:rPr>
                <w:bCs/>
              </w:rPr>
              <w:t>2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762EB80A" w:rsidR="00771A38" w:rsidRPr="009B75A7" w:rsidRDefault="000E60E3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0%</w:t>
            </w:r>
            <w:r w:rsidR="004B030B">
              <w:rPr>
                <w:bCs/>
              </w:rPr>
              <w:t xml:space="preserve">) </w:t>
            </w:r>
          </w:p>
        </w:tc>
        <w:tc>
          <w:tcPr>
            <w:tcW w:w="2515" w:type="dxa"/>
          </w:tcPr>
          <w:p w14:paraId="21012191" w14:textId="2FCA4537" w:rsidR="00771A38" w:rsidRPr="003D117B" w:rsidRDefault="00E0185A" w:rsidP="009F53C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7B472A">
              <w:rPr>
                <w:bCs/>
              </w:rPr>
              <w:t>5</w:t>
            </w:r>
            <w:r w:rsidR="004B030B">
              <w:rPr>
                <w:bCs/>
              </w:rPr>
              <w:t xml:space="preserve"> (</w:t>
            </w:r>
            <w:r w:rsidR="007B472A">
              <w:rPr>
                <w:bCs/>
              </w:rPr>
              <w:t>11</w:t>
            </w:r>
            <w:r w:rsidR="004B030B">
              <w:rPr>
                <w:bCs/>
              </w:rPr>
              <w:t>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6E4D06A7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0DB06D70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FC7069" w:rsidRDefault="00771A38" w:rsidP="002E3C1F">
            <w:pPr>
              <w:jc w:val="center"/>
              <w:rPr>
                <w:b/>
              </w:rPr>
            </w:pPr>
            <w:r w:rsidRPr="006642CA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2BC374AF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0E85F7FC" w:rsidR="000D6C22" w:rsidRPr="00EC39E9" w:rsidRDefault="00AD40B9" w:rsidP="004B03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6CF63CF4" w:rsidR="000D6C22" w:rsidRPr="000C44D2" w:rsidRDefault="006642CA" w:rsidP="000D6C22">
            <w:pPr>
              <w:jc w:val="center"/>
              <w:rPr>
                <w:bCs/>
              </w:rPr>
            </w:pPr>
            <w:r>
              <w:rPr>
                <w:bCs/>
              </w:rPr>
              <w:t>27,921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13ECC6F4" w:rsidR="000D6C22" w:rsidRPr="00EC39E9" w:rsidRDefault="00AD40B9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317D88FA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6642CA">
              <w:rPr>
                <w:bCs/>
              </w:rPr>
              <w:t>773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1</w:t>
            </w:r>
            <w:r w:rsidR="006642CA">
              <w:rPr>
                <w:bCs/>
              </w:rPr>
              <w:t>4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7CD90FE4" w:rsidR="000D6C22" w:rsidRPr="00EC39E9" w:rsidRDefault="00AD40B9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53066DF0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6642CA">
              <w:rPr>
                <w:bCs/>
              </w:rPr>
              <w:t>440</w:t>
            </w:r>
            <w:r w:rsidR="00BA2243">
              <w:rPr>
                <w:bCs/>
              </w:rPr>
              <w:t xml:space="preserve"> (9</w:t>
            </w:r>
            <w:r w:rsidR="006642CA">
              <w:rPr>
                <w:bCs/>
              </w:rPr>
              <w:t>1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706C092C" w:rsidR="000D6C22" w:rsidRPr="00EC39E9" w:rsidRDefault="00AD40B9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260A1999" w:rsidR="000D6C22" w:rsidRPr="000C44D2" w:rsidRDefault="006642CA" w:rsidP="000D6C22">
            <w:pPr>
              <w:jc w:val="center"/>
              <w:rPr>
                <w:bCs/>
              </w:rPr>
            </w:pPr>
            <w:r>
              <w:rPr>
                <w:bCs/>
              </w:rPr>
              <w:t>333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9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3FFA8D8E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778AFC2C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7B472A">
              <w:rPr>
                <w:b/>
              </w:rPr>
              <w:t>10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4B628291" w:rsidR="0025564A" w:rsidRPr="009B75A7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229</w:t>
            </w:r>
          </w:p>
        </w:tc>
        <w:tc>
          <w:tcPr>
            <w:tcW w:w="2515" w:type="dxa"/>
          </w:tcPr>
          <w:p w14:paraId="615F4E2C" w14:textId="7DE8CF74" w:rsidR="0025564A" w:rsidRPr="004A56EB" w:rsidRDefault="00600440" w:rsidP="000C44D2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D67B4F">
              <w:rPr>
                <w:bCs/>
              </w:rPr>
              <w:t>821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2F30901F" w:rsidR="0025564A" w:rsidRPr="009B75A7" w:rsidRDefault="009A4153" w:rsidP="000C44D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D67B4F">
              <w:rPr>
                <w:bCs/>
              </w:rPr>
              <w:t>103</w:t>
            </w:r>
          </w:p>
        </w:tc>
        <w:tc>
          <w:tcPr>
            <w:tcW w:w="2515" w:type="dxa"/>
          </w:tcPr>
          <w:p w14:paraId="3EC6D09F" w14:textId="001A888B" w:rsidR="0025564A" w:rsidRPr="004A56EB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10,891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2AADAC26" w:rsidR="0025564A" w:rsidRPr="009B75A7" w:rsidRDefault="009A4153" w:rsidP="00FA5E3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D67B4F">
              <w:rPr>
                <w:bCs/>
              </w:rPr>
              <w:t>020</w:t>
            </w:r>
            <w:r w:rsidR="00AA1086">
              <w:rPr>
                <w:bCs/>
              </w:rPr>
              <w:t xml:space="preserve"> (</w:t>
            </w:r>
            <w:r w:rsidR="00D92C98">
              <w:rPr>
                <w:bCs/>
              </w:rPr>
              <w:t>7</w:t>
            </w:r>
            <w:r w:rsidR="00D67B4F">
              <w:rPr>
                <w:bCs/>
              </w:rPr>
              <w:t>7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3F4EE56C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67B4F">
              <w:rPr>
                <w:bCs/>
              </w:rPr>
              <w:t>1,827</w:t>
            </w:r>
            <w:r w:rsidR="00AA1086">
              <w:rPr>
                <w:bCs/>
              </w:rPr>
              <w:t xml:space="preserve"> (</w:t>
            </w:r>
            <w:r w:rsidR="00600440">
              <w:rPr>
                <w:bCs/>
              </w:rPr>
              <w:t>8</w:t>
            </w:r>
            <w:r w:rsidR="00D67B4F">
              <w:rPr>
                <w:bCs/>
              </w:rPr>
              <w:t>6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3ABD5196" w:rsidR="0025564A" w:rsidRPr="009B75A7" w:rsidRDefault="00D92C98" w:rsidP="00FB640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D67B4F">
              <w:rPr>
                <w:bCs/>
              </w:rPr>
              <w:t>12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2</w:t>
            </w:r>
            <w:r w:rsidR="00D67B4F">
              <w:rPr>
                <w:bCs/>
              </w:rPr>
              <w:t>3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264348A4" w:rsidR="0025564A" w:rsidRPr="004A56EB" w:rsidRDefault="00600440" w:rsidP="009F53C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D67B4F">
              <w:rPr>
                <w:bCs/>
              </w:rPr>
              <w:t xml:space="preserve">885 </w:t>
            </w:r>
            <w:r w:rsidR="00AA1086">
              <w:rPr>
                <w:bCs/>
              </w:rPr>
              <w:t>(</w:t>
            </w:r>
            <w:r w:rsidR="00D92C98">
              <w:rPr>
                <w:bCs/>
              </w:rPr>
              <w:t>1</w:t>
            </w:r>
            <w:r w:rsidR="00D67B4F">
              <w:rPr>
                <w:bCs/>
              </w:rPr>
              <w:t>4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07B06D5D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6DC33A2A" w:rsidR="00697B1E" w:rsidRPr="00050158" w:rsidRDefault="00A3594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99.4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1CF43757" w:rsidR="00697B1E" w:rsidRPr="00050158" w:rsidRDefault="0086200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5</w:t>
      </w:r>
      <w:r w:rsidR="00D92C98">
        <w:rPr>
          <w:sz w:val="23"/>
          <w:szCs w:val="23"/>
        </w:rPr>
        <w:t>4</w:t>
      </w:r>
      <w:r>
        <w:rPr>
          <w:sz w:val="23"/>
          <w:szCs w:val="23"/>
        </w:rPr>
        <w:t>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0A951C8F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7B472A">
        <w:rPr>
          <w:b/>
          <w:noProof/>
        </w:rPr>
        <w:t>10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A35949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2267AE84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170E2815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3C5EF4BC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729EE3E8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Moderate</w:t>
            </w:r>
          </w:p>
        </w:tc>
      </w:tr>
      <w:tr w:rsidR="00A35949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29EF904A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2F294D9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1D9A265D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3C33926F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Moderate</w:t>
            </w:r>
          </w:p>
        </w:tc>
      </w:tr>
      <w:tr w:rsidR="00A35949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376D72B6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38C06422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4E090924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16E3D430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Moderate</w:t>
            </w:r>
          </w:p>
        </w:tc>
      </w:tr>
      <w:tr w:rsidR="00A35949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4DE488C3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EF1BCC6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4E4E79B5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3F1FB9BD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High</w:t>
            </w:r>
          </w:p>
        </w:tc>
      </w:tr>
      <w:tr w:rsidR="00A35949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10683D18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03350A3F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17FBC121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179EA2BC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Very High</w:t>
            </w:r>
          </w:p>
        </w:tc>
      </w:tr>
      <w:tr w:rsidR="00A35949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35FD8744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60CC3534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40F377FB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14C2AA62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Moderate</w:t>
            </w:r>
          </w:p>
        </w:tc>
      </w:tr>
      <w:tr w:rsidR="00A35949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27EFC495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54F4D4E0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7EA09DE9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6263FB87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Moderate</w:t>
            </w:r>
          </w:p>
        </w:tc>
      </w:tr>
      <w:tr w:rsidR="00A35949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49B0835F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7FAF215B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3D0D69B8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3575A137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Moderate</w:t>
            </w:r>
          </w:p>
        </w:tc>
      </w:tr>
      <w:tr w:rsidR="00A35949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615834D1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125581C8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235B55BC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7FD797BB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Moderate</w:t>
            </w:r>
          </w:p>
        </w:tc>
      </w:tr>
      <w:tr w:rsidR="00A35949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62285945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12E435C0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28575DCA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41D1E227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High</w:t>
            </w:r>
          </w:p>
        </w:tc>
      </w:tr>
      <w:tr w:rsidR="00A35949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27275B0F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7FBDEE75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6D16D859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78F642BB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Very High</w:t>
            </w:r>
          </w:p>
        </w:tc>
      </w:tr>
      <w:tr w:rsidR="00A35949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593AEBC9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155EEAD4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07CD1BBB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12171CC0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Low</w:t>
            </w:r>
          </w:p>
        </w:tc>
      </w:tr>
      <w:tr w:rsidR="00A35949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3F6F582E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0810BAE7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37738904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47F91EBC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Moderate</w:t>
            </w:r>
          </w:p>
        </w:tc>
      </w:tr>
      <w:tr w:rsidR="00A35949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0808E65E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73C102A4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7730F1B9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604B247F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Moderate</w:t>
            </w:r>
          </w:p>
        </w:tc>
      </w:tr>
      <w:tr w:rsidR="00A35949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6777F2B1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66C53026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081A3A1A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24414CA8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Low</w:t>
            </w:r>
          </w:p>
        </w:tc>
      </w:tr>
      <w:tr w:rsidR="00A35949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A35949" w:rsidRPr="00EC39E9" w:rsidRDefault="00A35949" w:rsidP="00A3594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2E791F12" w:rsidR="00A35949" w:rsidRPr="00B33FEE" w:rsidRDefault="00A35949" w:rsidP="00A35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48B8043D" w:rsidR="00A35949" w:rsidRPr="00AE23ED" w:rsidRDefault="00A35949" w:rsidP="00A3594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6861782F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77B436B2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A35949">
              <w:rPr>
                <w:sz w:val="22"/>
                <w:szCs w:val="22"/>
              </w:rPr>
              <w:t>Moderate</w:t>
            </w:r>
          </w:p>
        </w:tc>
      </w:tr>
      <w:tr w:rsidR="00A35949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A35949" w:rsidRPr="00EC39E9" w:rsidRDefault="00A35949" w:rsidP="00A35949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48F888BD" w:rsidR="00A35949" w:rsidRPr="00A35949" w:rsidRDefault="00A35949" w:rsidP="00A359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59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278040E7" w:rsidR="00A35949" w:rsidRPr="00AE23ED" w:rsidRDefault="00A35949" w:rsidP="00A359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A35949" w:rsidRPr="005C4665" w:rsidRDefault="00A35949" w:rsidP="00A35949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2BC17553" w:rsidR="00BD2082" w:rsidRDefault="00A35949" w:rsidP="00076584">
      <w:pPr>
        <w:ind w:left="540"/>
        <w:rPr>
          <w:b/>
          <w:noProof/>
          <w:sz w:val="20"/>
          <w:szCs w:val="20"/>
        </w:rPr>
      </w:pPr>
      <w:r w:rsidRPr="00860DED"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F564C73" wp14:editId="00E9F047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0DED"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3929CF5" wp14:editId="0BCADF6C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>
        <w:rPr>
          <w:b/>
          <w:noProof/>
          <w:sz w:val="20"/>
          <w:szCs w:val="20"/>
        </w:rPr>
        <w:t xml:space="preserve"> </w:t>
      </w:r>
      <w:r w:rsidR="00CE3A57" w:rsidRPr="00860DED">
        <w:rPr>
          <w:b/>
          <w:noProof/>
          <w:sz w:val="20"/>
          <w:szCs w:val="20"/>
        </w:rPr>
        <w:t xml:space="preserve"> </w:t>
      </w:r>
      <w:r w:rsidR="00770445" w:rsidRPr="00A35949">
        <w:rPr>
          <w:b/>
          <w:noProof/>
          <w:sz w:val="20"/>
          <w:szCs w:val="20"/>
        </w:rPr>
        <w:t xml:space="preserve">Influenza </w:t>
      </w:r>
      <w:r w:rsidR="00087213" w:rsidRPr="00A35949">
        <w:rPr>
          <w:b/>
          <w:noProof/>
          <w:sz w:val="20"/>
          <w:szCs w:val="20"/>
        </w:rPr>
        <w:t>Activity</w:t>
      </w:r>
      <w:r w:rsidR="00266949" w:rsidRPr="00A35949">
        <w:rPr>
          <w:b/>
          <w:noProof/>
          <w:sz w:val="20"/>
          <w:szCs w:val="20"/>
        </w:rPr>
        <w:t xml:space="preserve"> </w:t>
      </w:r>
      <w:r w:rsidR="00087213" w:rsidRPr="00A35949">
        <w:rPr>
          <w:b/>
          <w:noProof/>
          <w:sz w:val="20"/>
          <w:szCs w:val="20"/>
        </w:rPr>
        <w:t>Trends</w:t>
      </w:r>
      <w:r w:rsidR="00770445" w:rsidRPr="00A35949">
        <w:rPr>
          <w:b/>
          <w:noProof/>
          <w:sz w:val="20"/>
          <w:szCs w:val="20"/>
        </w:rPr>
        <w:t>,</w:t>
      </w:r>
      <w:r w:rsidR="00770445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>Maine,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7B472A">
        <w:rPr>
          <w:b/>
          <w:noProof/>
          <w:sz w:val="20"/>
          <w:szCs w:val="20"/>
        </w:rPr>
        <w:t>10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A35949">
        <w:rPr>
          <w:b/>
          <w:noProof/>
          <w:sz w:val="20"/>
          <w:szCs w:val="20"/>
        </w:rPr>
        <w:t>Influenza Severity Estimates,</w:t>
      </w:r>
      <w:r w:rsidR="00670637" w:rsidRPr="006130CA">
        <w:rPr>
          <w:b/>
          <w:noProof/>
          <w:sz w:val="20"/>
          <w:szCs w:val="20"/>
        </w:rPr>
        <w:t xml:space="preserve"> Maine</w:t>
      </w:r>
      <w:r w:rsidR="00CF5E5E">
        <w:rPr>
          <w:b/>
          <w:noProof/>
          <w:sz w:val="20"/>
          <w:szCs w:val="20"/>
        </w:rPr>
        <w:t>,</w:t>
      </w:r>
      <w:r w:rsidR="00670637" w:rsidRPr="00CE3A57">
        <w:rPr>
          <w:b/>
          <w:noProof/>
          <w:sz w:val="20"/>
          <w:szCs w:val="20"/>
        </w:rPr>
        <w:t xml:space="preserve"> Week </w:t>
      </w:r>
      <w:r w:rsidR="007B472A">
        <w:rPr>
          <w:b/>
          <w:noProof/>
          <w:sz w:val="20"/>
          <w:szCs w:val="20"/>
        </w:rPr>
        <w:t>10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B89B7BE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11E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5D12BEA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E20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66C7BB58" w:rsidR="00B62A80" w:rsidRPr="009F53C2" w:rsidRDefault="00611E6D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885" w:type="dxa"/>
          </w:tcPr>
          <w:p w14:paraId="75F459AB" w14:textId="4AD3C22E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3E208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264C79E3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40091024" w:rsidR="00906328" w:rsidRPr="000870E7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35949">
              <w:rPr>
                <w:b/>
                <w:bCs/>
              </w:rPr>
              <w:t>6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6DB7FDD2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35949">
              <w:rPr>
                <w:b/>
                <w:bCs/>
              </w:rPr>
              <w:t>32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3CE67ADB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A35949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59B4CFBD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7D0CDB5B" w14:textId="758E3ED4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30E9223B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08CF82DF" w:rsidR="00A35949" w:rsidRPr="009A1837" w:rsidRDefault="00A35949" w:rsidP="00A35949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6E3310FA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2236CB77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44D20B3A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72D0B51A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35949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35760621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73DBCD9E" w14:textId="2903C107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76150B48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15A80698" w14:textId="6E1ACEDB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3408776B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1E2EE945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0D59F0B1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3EC750C8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35949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74D55A67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5" w:type="dxa"/>
            <w:noWrap/>
            <w:vAlign w:val="bottom"/>
          </w:tcPr>
          <w:p w14:paraId="2E466281" w14:textId="0EDAC5B0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noWrap/>
            <w:vAlign w:val="bottom"/>
          </w:tcPr>
          <w:p w14:paraId="5D3DAD6D" w14:textId="6F924E71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2332224" w14:textId="33AC79F8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1454BF9E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6529C5F1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04CE3C53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7B24BFFC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35949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55A8F9AC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7BF7879B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679C992A" w14:textId="24B2E6B9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774DFB4E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1D306C02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1D7432B5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1DCFFAE3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64E00C55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35949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52FE51AD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9337B5A" w14:textId="144CAD6B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70FF7BF" w14:textId="56F2196B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1AA0423D" w14:textId="6854D4EA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506FA0FE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7E864FE2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5DC3B292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0883F15F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A35949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58E9DF60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2E26918" w14:textId="5D8DAF3B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6A1E6" w14:textId="4CB26071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74DDC8C5" w14:textId="6AC3374E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19489CBD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6A98688A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3FCD4A44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3B9F643D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35949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4D086F12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45B0D72F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1725AB0B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4291440" w14:textId="208E94F1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7E2D8F5C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547287D6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39102DC2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05C654E7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35949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20568927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011A9E7" w14:textId="320A5F8D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5316B2D3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5EAC8074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265B4A42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06C70069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6A3A980B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2C589251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35949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485BD7EC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76DCD2" w14:textId="2C8D6D38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4F8EA2BD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38E38649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160E7879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1113EACD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1F2C6A38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6DCB3A2C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35949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5E38E45A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68430070" w14:textId="76E813BC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74E94686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19D92E44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4FCE24D1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40985642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2DD258DD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3877C709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35949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441E73BF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63BB1073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4707973D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40454E9E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3670BE51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62FA769A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77B19E1A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6CCFDA2D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35949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64CF0F32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31623AC5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5424F91C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1B0E6B56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77ACE9A7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0F5D41C9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3BA21D3C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5290D754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35949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67184075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F688715" w14:textId="169FBA98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309FBD50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E781E3" w14:textId="3ED1566A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3FD74AD1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4FFDECFA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51291B90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492C5DB4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35949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796E9454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DBF4D37" w14:textId="2308420C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7004E6F4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EF586D2" w14:textId="00411828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6279307E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45E14DC0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4BF9DD47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74D4A104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35949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47AA87A4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6A8F05BD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13A411A3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38463401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2BE3357A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535B68E9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19D07AB4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12C44699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35949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A35949" w:rsidRPr="009A1837" w:rsidRDefault="00A35949" w:rsidP="00A3594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1E5F07BF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5" w:type="dxa"/>
            <w:noWrap/>
            <w:vAlign w:val="bottom"/>
          </w:tcPr>
          <w:p w14:paraId="5FF2C6DC" w14:textId="551E7937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FC3C1B5" w14:textId="2FAC9883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09D920CB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48F239B0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6DA548A2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52BB58BB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7A247675" w:rsidR="00A35949" w:rsidRPr="009A1837" w:rsidRDefault="00A35949" w:rsidP="00A359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A35949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A35949" w:rsidRPr="009A1837" w:rsidRDefault="00A35949" w:rsidP="00A35949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571197D0" w:rsidR="00A35949" w:rsidRPr="00611E6D" w:rsidRDefault="00A35949" w:rsidP="00A359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05" w:type="dxa"/>
            <w:noWrap/>
            <w:vAlign w:val="bottom"/>
          </w:tcPr>
          <w:p w14:paraId="69828353" w14:textId="073C28E9" w:rsidR="00A35949" w:rsidRPr="00611E6D" w:rsidRDefault="00A35949" w:rsidP="00A359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2" w:type="dxa"/>
            <w:noWrap/>
            <w:vAlign w:val="bottom"/>
          </w:tcPr>
          <w:p w14:paraId="4EF4F4D9" w14:textId="7C02AB87" w:rsidR="00A35949" w:rsidRPr="00611E6D" w:rsidRDefault="00A35949" w:rsidP="00A359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05" w:type="dxa"/>
            <w:noWrap/>
            <w:vAlign w:val="bottom"/>
          </w:tcPr>
          <w:p w14:paraId="2661FFAD" w14:textId="4D313804" w:rsidR="00A35949" w:rsidRPr="00611E6D" w:rsidRDefault="00A35949" w:rsidP="00A359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262F8342" w:rsidR="00A35949" w:rsidRPr="00611E6D" w:rsidRDefault="00A35949" w:rsidP="00A359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1CDDFA7B" w:rsidR="00A35949" w:rsidRPr="00611E6D" w:rsidRDefault="00A35949" w:rsidP="00A359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2A266E14" w:rsidR="00A35949" w:rsidRPr="00611E6D" w:rsidRDefault="00A35949" w:rsidP="00A359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539ECE27" w:rsidR="00A35949" w:rsidRPr="00611E6D" w:rsidRDefault="00A35949" w:rsidP="00A359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4E62E383" w14:textId="1B5E75F9" w:rsidR="00D92C98" w:rsidRPr="00D92C98" w:rsidRDefault="00A35949" w:rsidP="00D92C98">
      <w:pPr>
        <w:spacing w:before="100" w:beforeAutospacing="1" w:after="100" w:afterAutospacing="1"/>
      </w:pPr>
      <w:r w:rsidRPr="00A35949">
        <w:drawing>
          <wp:inline distT="0" distB="0" distL="0" distR="0" wp14:anchorId="798068F2" wp14:editId="413B4F50">
            <wp:extent cx="6858000" cy="6229350"/>
            <wp:effectExtent l="0" t="0" r="0" b="0"/>
            <wp:docPr id="386202946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02946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D4A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2685"/>
    <w:rsid w:val="002327AA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08A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1ED3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2CA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F31"/>
    <w:rsid w:val="007B472A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5949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09D7"/>
    <w:rsid w:val="00A621A9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1380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777F"/>
    <w:rsid w:val="00D67B4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27351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6.34</c:v>
                </c:pt>
                <c:pt idx="22">
                  <c:v>5.77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4.99</c:v>
                </c:pt>
                <c:pt idx="14">
                  <c:v>4.6500000000000004</c:v>
                </c:pt>
                <c:pt idx="15">
                  <c:v>5.98</c:v>
                </c:pt>
                <c:pt idx="16">
                  <c:v>7.57</c:v>
                </c:pt>
                <c:pt idx="17">
                  <c:v>8.91</c:v>
                </c:pt>
                <c:pt idx="18">
                  <c:v>9.6</c:v>
                </c:pt>
                <c:pt idx="19">
                  <c:v>8.92</c:v>
                </c:pt>
                <c:pt idx="20">
                  <c:v>7.28</c:v>
                </c:pt>
                <c:pt idx="21">
                  <c:v>5.49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8</c:v>
                </c:pt>
                <c:pt idx="20">
                  <c:v>15</c:v>
                </c:pt>
                <c:pt idx="21">
                  <c:v>12</c:v>
                </c:pt>
                <c:pt idx="2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4</c:v>
                </c:pt>
                <c:pt idx="20">
                  <c:v>2</c:v>
                </c:pt>
                <c:pt idx="2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1">
                  <c:v>1</c:v>
                </c:pt>
                <c:pt idx="2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11.38</c:v>
                </c:pt>
                <c:pt idx="20">
                  <c:v>10.220000000000001</c:v>
                </c:pt>
                <c:pt idx="21">
                  <c:v>8.14</c:v>
                </c:pt>
                <c:pt idx="22">
                  <c:v>6.69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0.84</c:v>
                </c:pt>
                <c:pt idx="22">
                  <c:v>0.92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196</c:v>
                </c:pt>
                <c:pt idx="20">
                  <c:v>163</c:v>
                </c:pt>
                <c:pt idx="21">
                  <c:v>147</c:v>
                </c:pt>
                <c:pt idx="22">
                  <c:v>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6.0975609756097562</c:v>
                </c:pt>
                <c:pt idx="14">
                  <c:v>8.7323943661971821</c:v>
                </c:pt>
                <c:pt idx="15">
                  <c:v>8.4905660377358494</c:v>
                </c:pt>
                <c:pt idx="16">
                  <c:v>8.9136490250696383</c:v>
                </c:pt>
                <c:pt idx="17">
                  <c:v>7.3964497041420119</c:v>
                </c:pt>
                <c:pt idx="18">
                  <c:v>10.2803738317757</c:v>
                </c:pt>
                <c:pt idx="19">
                  <c:v>12.578616352201259</c:v>
                </c:pt>
                <c:pt idx="20">
                  <c:v>10.231023102310232</c:v>
                </c:pt>
                <c:pt idx="21">
                  <c:v>10.778443113772456</c:v>
                </c:pt>
                <c:pt idx="22">
                  <c:v>12.337662337662337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10.456852791878173</c:v>
                </c:pt>
                <c:pt idx="20">
                  <c:v>10.083036773428232</c:v>
                </c:pt>
                <c:pt idx="21">
                  <c:v>9.7600872410032729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58</c:v>
                </c:pt>
                <c:pt idx="22">
                  <c:v>17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29</c:v>
                </c:pt>
                <c:pt idx="22">
                  <c:v>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34</c:v>
                </c:pt>
                <c:pt idx="18">
                  <c:v>58</c:v>
                </c:pt>
                <c:pt idx="19">
                  <c:v>32</c:v>
                </c:pt>
                <c:pt idx="20">
                  <c:v>5</c:v>
                </c:pt>
                <c:pt idx="21">
                  <c:v>1</c:v>
                </c:pt>
                <c:pt idx="22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752</c:v>
                </c:pt>
                <c:pt idx="1">
                  <c:v>680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176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  <c:pt idx="21">
                  <c:v>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  <c:pt idx="21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  <c:pt idx="21">
                  <c:v>23.697478991596636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532</c:v>
                </c:pt>
                <c:pt idx="15">
                  <c:v>694</c:v>
                </c:pt>
                <c:pt idx="16">
                  <c:v>1049</c:v>
                </c:pt>
                <c:pt idx="17">
                  <c:v>1326</c:v>
                </c:pt>
                <c:pt idx="18">
                  <c:v>1660</c:v>
                </c:pt>
                <c:pt idx="19">
                  <c:v>1839</c:v>
                </c:pt>
                <c:pt idx="20">
                  <c:v>1476</c:v>
                </c:pt>
                <c:pt idx="21">
                  <c:v>1192</c:v>
                </c:pt>
                <c:pt idx="22">
                  <c:v>1020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80</c:v>
                </c:pt>
                <c:pt idx="17">
                  <c:v>172</c:v>
                </c:pt>
                <c:pt idx="18">
                  <c:v>246</c:v>
                </c:pt>
                <c:pt idx="19">
                  <c:v>280</c:v>
                </c:pt>
                <c:pt idx="20">
                  <c:v>311</c:v>
                </c:pt>
                <c:pt idx="21">
                  <c:v>335</c:v>
                </c:pt>
                <c:pt idx="22">
                  <c:v>312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31</c:v>
                </c:pt>
                <c:pt idx="1">
                  <c:v>72</c:v>
                </c:pt>
                <c:pt idx="2">
                  <c:v>137</c:v>
                </c:pt>
                <c:pt idx="3">
                  <c:v>250</c:v>
                </c:pt>
                <c:pt idx="4">
                  <c:v>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1459</c:v>
                </c:pt>
                <c:pt idx="1">
                  <c:v>3851</c:v>
                </c:pt>
                <c:pt idx="2">
                  <c:v>3189</c:v>
                </c:pt>
                <c:pt idx="3">
                  <c:v>1842</c:v>
                </c:pt>
                <c:pt idx="4">
                  <c:v>2234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830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6</cp:revision>
  <cp:lastPrinted>2025-01-21T18:02:00Z</cp:lastPrinted>
  <dcterms:created xsi:type="dcterms:W3CDTF">2025-03-11T17:04:00Z</dcterms:created>
  <dcterms:modified xsi:type="dcterms:W3CDTF">2025-03-11T17:43:00Z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