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DDC2328" w:rsidR="00272295" w:rsidRDefault="004B030B" w:rsidP="00697B1E">
      <w:r>
        <w:t xml:space="preserve">February </w:t>
      </w:r>
      <w:r w:rsidR="00E0185A">
        <w:t>25</w:t>
      </w:r>
      <w:r w:rsidR="00337F3B">
        <w:t>, 202</w:t>
      </w:r>
      <w:r w:rsidR="00B75D30">
        <w:t>5</w:t>
      </w:r>
    </w:p>
    <w:p w14:paraId="4E65E6AD" w14:textId="52FA641F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E0185A">
        <w:t>8</w:t>
      </w:r>
      <w:r w:rsidR="00816D7A" w:rsidRPr="00FD1CC0">
        <w:t xml:space="preserve"> (ending </w:t>
      </w:r>
      <w:r w:rsidR="004B030B">
        <w:t>2</w:t>
      </w:r>
      <w:r w:rsidR="00D37AB5">
        <w:t>/</w:t>
      </w:r>
      <w:r w:rsidR="00E0185A">
        <w:t>22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555EB2">
        <w:rPr>
          <w:b/>
          <w:bCs/>
        </w:rPr>
        <w:t>U</w:t>
      </w:r>
      <w:r w:rsidR="00531811" w:rsidRPr="00555EB2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02470C96" w:rsidR="00673D41" w:rsidRPr="00615AE8" w:rsidRDefault="00E0185A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01B28">
              <w:rPr>
                <w:b/>
                <w:bCs/>
              </w:rPr>
              <w:t>.04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C9ED3B3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5F5D5703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13C86D07" w:rsidR="005C2BB6" w:rsidRPr="00364EE2" w:rsidRDefault="00101B28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378993BD" w:rsidR="005C2BB6" w:rsidRPr="00FE11DD" w:rsidRDefault="00101B28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E0185A">
              <w:rPr>
                <w:b/>
                <w:bCs/>
              </w:rPr>
              <w:t>38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1D5BBF67" w:rsidR="00F226A4" w:rsidRPr="005B36F3" w:rsidRDefault="005D186C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0185A">
              <w:rPr>
                <w:b/>
                <w:bCs/>
              </w:rPr>
              <w:t>52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23EB2E85" w:rsidR="00F226A4" w:rsidRPr="00FE11DD" w:rsidRDefault="00E0185A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70A0F63A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948D8B7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305DC6A2" w:rsidR="00531811" w:rsidRPr="00615AE8" w:rsidRDefault="00E0185A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10.88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6789011C" w:rsidR="00531811" w:rsidRPr="006454D1" w:rsidRDefault="00E0185A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58F4DCB7" w:rsidR="00615AE8" w:rsidRPr="006454D1" w:rsidRDefault="00E0185A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1E940CD9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58C084F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E0185A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71FD68A4" w:rsidR="00771A38" w:rsidRPr="009B75A7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2515" w:type="dxa"/>
          </w:tcPr>
          <w:p w14:paraId="583B98F5" w14:textId="1FD36143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E0185A">
              <w:rPr>
                <w:bCs/>
              </w:rPr>
              <w:t>524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7FD2FA80" w:rsidR="00771A38" w:rsidRPr="009B75A7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76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93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20A37F39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E0185A">
              <w:rPr>
                <w:bCs/>
              </w:rPr>
              <w:t>435</w:t>
            </w:r>
            <w:r w:rsidR="001F0369">
              <w:rPr>
                <w:bCs/>
              </w:rPr>
              <w:t xml:space="preserve"> (</w:t>
            </w:r>
            <w:r w:rsidR="00E0185A">
              <w:rPr>
                <w:bCs/>
              </w:rPr>
              <w:t>94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1AC5A1B3" w:rsidR="00771A38" w:rsidRPr="009B75A7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51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58213613" w:rsidR="00771A38" w:rsidRPr="003D117B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641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>
              <w:rPr>
                <w:bCs/>
              </w:rPr>
              <w:t>5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4CA22F13" w:rsidR="00771A38" w:rsidRPr="009B75A7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43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6DE753AD" w:rsidR="00771A38" w:rsidRPr="003D117B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621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101B28">
              <w:rPr>
                <w:bCs/>
              </w:rPr>
              <w:t>3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5642439D" w:rsidR="00771A38" w:rsidRPr="009B75A7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5</w:t>
            </w:r>
            <w:r w:rsidR="004B030B">
              <w:rPr>
                <w:bCs/>
              </w:rPr>
              <w:t xml:space="preserve">%) </w:t>
            </w:r>
          </w:p>
        </w:tc>
        <w:tc>
          <w:tcPr>
            <w:tcW w:w="2515" w:type="dxa"/>
          </w:tcPr>
          <w:p w14:paraId="21012191" w14:textId="48F78FA1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173</w:t>
            </w:r>
            <w:r w:rsidR="004B030B">
              <w:rPr>
                <w:bCs/>
              </w:rPr>
              <w:t xml:space="preserve"> (</w:t>
            </w:r>
            <w:r w:rsidR="009A4153">
              <w:rPr>
                <w:bCs/>
              </w:rPr>
              <w:t>1</w:t>
            </w:r>
            <w:r>
              <w:rPr>
                <w:bCs/>
              </w:rPr>
              <w:t>2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68F5EDC2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02B2F4D4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FC7069" w:rsidRDefault="00771A38" w:rsidP="002E3C1F">
            <w:pPr>
              <w:jc w:val="center"/>
              <w:rPr>
                <w:b/>
              </w:rPr>
            </w:pPr>
            <w:r w:rsidRPr="00FC7069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7E5962BD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E0185A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7C593C8D" w:rsidR="000D6C22" w:rsidRPr="00EC39E9" w:rsidRDefault="00600440" w:rsidP="004B030B">
            <w:pPr>
              <w:jc w:val="center"/>
              <w:rPr>
                <w:bCs/>
              </w:rPr>
            </w:pPr>
            <w:r>
              <w:rPr>
                <w:bCs/>
              </w:rPr>
              <w:t>1,867</w:t>
            </w:r>
          </w:p>
        </w:tc>
        <w:tc>
          <w:tcPr>
            <w:tcW w:w="2515" w:type="dxa"/>
          </w:tcPr>
          <w:p w14:paraId="783B27B2" w14:textId="6AD8E0CD" w:rsidR="000D6C22" w:rsidRPr="000C44D2" w:rsidRDefault="009331DF" w:rsidP="000D6C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00440">
              <w:rPr>
                <w:bCs/>
              </w:rPr>
              <w:t>6,136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618F4A74" w:rsidR="000D6C22" w:rsidRPr="00EC39E9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537 (29%)</w:t>
            </w:r>
          </w:p>
        </w:tc>
        <w:tc>
          <w:tcPr>
            <w:tcW w:w="2515" w:type="dxa"/>
          </w:tcPr>
          <w:p w14:paraId="04AD303C" w14:textId="0AD196F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3,350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13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6BD3F279" w:rsidR="000D6C22" w:rsidRPr="00EC39E9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459 (92%)</w:t>
            </w:r>
          </w:p>
        </w:tc>
        <w:tc>
          <w:tcPr>
            <w:tcW w:w="2515" w:type="dxa"/>
          </w:tcPr>
          <w:p w14:paraId="7F814D02" w14:textId="1C1441EA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3,091</w:t>
            </w:r>
            <w:r w:rsidR="00BA2243">
              <w:rPr>
                <w:bCs/>
              </w:rPr>
              <w:t xml:space="preserve"> (9</w:t>
            </w:r>
            <w:r>
              <w:rPr>
                <w:bCs/>
              </w:rPr>
              <w:t>2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44A50C39" w:rsidR="000D6C22" w:rsidRPr="00EC39E9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78 (8%)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564D519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259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7729AD63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8E5030D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E0185A">
              <w:rPr>
                <w:b/>
              </w:rPr>
              <w:t>8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7BBE005A" w:rsidR="0025564A" w:rsidRPr="009B75A7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334</w:t>
            </w:r>
          </w:p>
        </w:tc>
        <w:tc>
          <w:tcPr>
            <w:tcW w:w="2515" w:type="dxa"/>
          </w:tcPr>
          <w:p w14:paraId="615F4E2C" w14:textId="04065154" w:rsidR="0025564A" w:rsidRPr="004A56EB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2,291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4A7E905D" w:rsidR="0025564A" w:rsidRPr="009B75A7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600440">
              <w:rPr>
                <w:bCs/>
              </w:rPr>
              <w:t>786</w:t>
            </w:r>
          </w:p>
        </w:tc>
        <w:tc>
          <w:tcPr>
            <w:tcW w:w="2515" w:type="dxa"/>
          </w:tcPr>
          <w:p w14:paraId="3EC6D09F" w14:textId="69DABE31" w:rsidR="0025564A" w:rsidRPr="004A56EB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8,558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5818C4B" w:rsidR="0025564A" w:rsidRPr="009B75A7" w:rsidRDefault="009A4153" w:rsidP="00FA5E3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600440">
              <w:rPr>
                <w:bCs/>
              </w:rPr>
              <w:t>473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="00600440">
              <w:rPr>
                <w:bCs/>
              </w:rPr>
              <w:t>2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E412442" w:rsidR="0025564A" w:rsidRPr="004A56EB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9,610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89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70B32EE" w:rsidR="0025564A" w:rsidRPr="009B75A7" w:rsidRDefault="00600440" w:rsidP="00FB640F">
            <w:pPr>
              <w:jc w:val="center"/>
              <w:rPr>
                <w:bCs/>
              </w:rPr>
            </w:pPr>
            <w:r>
              <w:rPr>
                <w:bCs/>
              </w:rPr>
              <w:t>313</w:t>
            </w:r>
            <w:r w:rsidR="00AA1086">
              <w:rPr>
                <w:bCs/>
              </w:rPr>
              <w:t xml:space="preserve"> (</w:t>
            </w:r>
            <w:r w:rsidR="009A4153">
              <w:rPr>
                <w:bCs/>
              </w:rPr>
              <w:t>1</w:t>
            </w:r>
            <w:r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6E062595" w:rsidR="0025564A" w:rsidRPr="004A56EB" w:rsidRDefault="00600440" w:rsidP="009F53C2">
            <w:pPr>
              <w:jc w:val="center"/>
              <w:rPr>
                <w:bCs/>
              </w:rPr>
            </w:pPr>
            <w:r>
              <w:rPr>
                <w:bCs/>
              </w:rPr>
              <w:t>1,239</w:t>
            </w:r>
            <w:r w:rsidR="00AA1086">
              <w:rPr>
                <w:bCs/>
              </w:rPr>
              <w:t xml:space="preserve"> (</w:t>
            </w:r>
            <w:r w:rsidR="00101B28">
              <w:rPr>
                <w:bCs/>
              </w:rPr>
              <w:t>1</w:t>
            </w:r>
            <w:r>
              <w:rPr>
                <w:bCs/>
              </w:rPr>
              <w:t>1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61BD472D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7E63224F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50.9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F7D29B7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E0185A">
        <w:rPr>
          <w:b/>
          <w:noProof/>
        </w:rPr>
        <w:t>8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0A2D4A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756D6F24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0BA1320F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00B783C0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5B16AA3B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High</w:t>
            </w:r>
          </w:p>
        </w:tc>
      </w:tr>
      <w:tr w:rsidR="000A2D4A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766AA487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1B4367E8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699E961B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43D09078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High</w:t>
            </w:r>
          </w:p>
        </w:tc>
      </w:tr>
      <w:tr w:rsidR="000A2D4A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7332C9BB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0DEE9CC9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5EFFF3A5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307056F9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78BD487A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53F10DB4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69921333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FC92296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59560011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7370C877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69BB61FC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72EECCC5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Very High</w:t>
            </w:r>
          </w:p>
        </w:tc>
      </w:tr>
      <w:tr w:rsidR="000A2D4A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FADA6D1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26E1EB8F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3C127C69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03FC9C5B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Very High</w:t>
            </w:r>
          </w:p>
        </w:tc>
      </w:tr>
      <w:tr w:rsidR="000A2D4A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36A5388E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2F71B9F3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0518A55D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5E5B5193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Low</w:t>
            </w:r>
          </w:p>
        </w:tc>
      </w:tr>
      <w:tr w:rsidR="000A2D4A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310A0150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087E2A9E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3479E783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13C15109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46996AB1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04BBD148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55AF4D26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2FC3E482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18F189C5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403BCC4C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56C14275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7CD95680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5DB8B140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55865711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032BD65E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63A0B22F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Very High</w:t>
            </w:r>
          </w:p>
        </w:tc>
      </w:tr>
      <w:tr w:rsidR="000A2D4A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4A8FDD48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799264B0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701F2DD1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144125DC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18105036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71D5384F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2C5E9615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5B3BF5DB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High</w:t>
            </w:r>
          </w:p>
        </w:tc>
      </w:tr>
      <w:tr w:rsidR="000A2D4A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26E141EE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3C8EA5A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11B60AF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63CD1DE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High</w:t>
            </w:r>
          </w:p>
        </w:tc>
      </w:tr>
      <w:tr w:rsidR="000A2D4A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7CDC95AF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6CCAD60A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5AC6AC6F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00869389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High</w:t>
            </w:r>
          </w:p>
        </w:tc>
      </w:tr>
      <w:tr w:rsidR="000A2D4A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0A2D4A" w:rsidRPr="00EC39E9" w:rsidRDefault="000A2D4A" w:rsidP="000A2D4A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574C2A79" w:rsidR="000A2D4A" w:rsidRPr="00B33FEE" w:rsidRDefault="000A2D4A" w:rsidP="000A2D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6807550A" w:rsidR="000A2D4A" w:rsidRPr="00AE23ED" w:rsidRDefault="000A2D4A" w:rsidP="000A2D4A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206E83CA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5526C78D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0A2D4A">
              <w:rPr>
                <w:sz w:val="22"/>
                <w:szCs w:val="22"/>
              </w:rPr>
              <w:t>Moderate</w:t>
            </w:r>
          </w:p>
        </w:tc>
      </w:tr>
      <w:tr w:rsidR="000A2D4A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0A2D4A" w:rsidRPr="00EC39E9" w:rsidRDefault="000A2D4A" w:rsidP="000A2D4A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2B4F6358" w:rsidR="000A2D4A" w:rsidRPr="000A2D4A" w:rsidRDefault="000A2D4A" w:rsidP="000A2D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2D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18A86519" w:rsidR="000A2D4A" w:rsidRPr="00AE23ED" w:rsidRDefault="000A2D4A" w:rsidP="000A2D4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0A2D4A" w:rsidRPr="005C4665" w:rsidRDefault="000A2D4A" w:rsidP="000A2D4A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18BEC086" w:rsidR="00BD2082" w:rsidRDefault="007B2F31" w:rsidP="00076584">
      <w:pPr>
        <w:ind w:left="540"/>
        <w:rPr>
          <w:b/>
          <w:noProof/>
          <w:sz w:val="20"/>
          <w:szCs w:val="20"/>
        </w:rPr>
      </w:pPr>
      <w:r w:rsidRPr="00860DED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0B3A7FFB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7069" w:rsidRPr="00860DED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530BEAC6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>
        <w:rPr>
          <w:b/>
          <w:noProof/>
          <w:sz w:val="20"/>
          <w:szCs w:val="20"/>
        </w:rPr>
        <w:t xml:space="preserve"> </w:t>
      </w:r>
      <w:r w:rsidR="00CE3A57" w:rsidRPr="00860DED">
        <w:rPr>
          <w:b/>
          <w:noProof/>
          <w:sz w:val="20"/>
          <w:szCs w:val="20"/>
        </w:rPr>
        <w:t xml:space="preserve"> </w:t>
      </w:r>
      <w:r w:rsidR="00770445" w:rsidRPr="007B2F31">
        <w:rPr>
          <w:b/>
          <w:noProof/>
          <w:sz w:val="20"/>
          <w:szCs w:val="20"/>
        </w:rPr>
        <w:t xml:space="preserve">Influenza </w:t>
      </w:r>
      <w:r w:rsidR="00087213" w:rsidRPr="007B2F31">
        <w:rPr>
          <w:b/>
          <w:noProof/>
          <w:sz w:val="20"/>
          <w:szCs w:val="20"/>
        </w:rPr>
        <w:t>Activity</w:t>
      </w:r>
      <w:r w:rsidR="00266949" w:rsidRPr="00544327">
        <w:rPr>
          <w:b/>
          <w:noProof/>
          <w:sz w:val="20"/>
          <w:szCs w:val="20"/>
        </w:rPr>
        <w:t xml:space="preserve"> </w:t>
      </w:r>
      <w:r w:rsidR="00087213" w:rsidRPr="00544327">
        <w:rPr>
          <w:b/>
          <w:noProof/>
          <w:sz w:val="20"/>
          <w:szCs w:val="20"/>
        </w:rPr>
        <w:t>Trends</w:t>
      </w:r>
      <w:r w:rsidR="00770445" w:rsidRPr="00544327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E0185A">
        <w:rPr>
          <w:b/>
          <w:noProof/>
          <w:sz w:val="20"/>
          <w:szCs w:val="20"/>
        </w:rPr>
        <w:t>8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7B2F31">
        <w:rPr>
          <w:b/>
          <w:noProof/>
          <w:sz w:val="20"/>
          <w:szCs w:val="20"/>
        </w:rPr>
        <w:t>Influenza Severity</w:t>
      </w:r>
      <w:r w:rsidR="00670637" w:rsidRPr="00544327">
        <w:rPr>
          <w:b/>
          <w:noProof/>
          <w:sz w:val="20"/>
          <w:szCs w:val="20"/>
        </w:rPr>
        <w:t xml:space="preserve"> Estimates,</w:t>
      </w:r>
      <w:r w:rsidR="00670637" w:rsidRPr="00A11027">
        <w:rPr>
          <w:b/>
          <w:noProof/>
          <w:sz w:val="20"/>
          <w:szCs w:val="20"/>
        </w:rPr>
        <w:t xml:space="preserve">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E0185A">
        <w:rPr>
          <w:b/>
          <w:noProof/>
          <w:sz w:val="20"/>
          <w:szCs w:val="20"/>
        </w:rPr>
        <w:t>8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933223C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80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66C7BB58" w:rsidR="00B62A80" w:rsidRPr="009F53C2" w:rsidRDefault="00611E6D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885" w:type="dxa"/>
          </w:tcPr>
          <w:p w14:paraId="75F459AB" w14:textId="69C782F3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11E6D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4D885446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125420BE" w:rsidR="00906328" w:rsidRPr="000870E7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298E667E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397ACA9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611E6D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054526C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D0CDB5B" w14:textId="53ECFBA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35970A8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477A6883" w:rsidR="00611E6D" w:rsidRPr="009A1837" w:rsidRDefault="00611E6D" w:rsidP="00611E6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5F0119C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51B8CDC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60D91DF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739164F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11E6D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1A89A96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73DBCD9E" w14:textId="2CECF4C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24637E0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5A80698" w14:textId="1A33452C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3840AC5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049C3C6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556049F3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63873EC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11E6D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3D86BCE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5" w:type="dxa"/>
            <w:noWrap/>
            <w:vAlign w:val="bottom"/>
          </w:tcPr>
          <w:p w14:paraId="2E466281" w14:textId="67672D4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10F2911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56EC4C2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11AD4CB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249742C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7803C51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3B017A3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611E6D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19711D83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6420474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4A2C16B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5034C91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217AEBC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5790600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0C8691E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04AD68B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11E6D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58A99373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9337B5A" w14:textId="66ECF5C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02BBF9B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389DFA4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60849C5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4FD2033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33734F9C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E0C9FE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11E6D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5A2E985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2E26918" w14:textId="65A3518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6A1E6" w14:textId="0A5569D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74DDC8C5" w14:textId="2E34AD6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41D2680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4B93168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5C6BC99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33972FA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611E6D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5228D98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1ACCECF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3F7F19D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4291440" w14:textId="0FFD465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7AD904E3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1E36A04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5E1C4C0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24C3E16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11E6D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2024FE3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011A9E7" w14:textId="7FBFDB5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1C3F999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7A6E600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4DBE6C9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662AC6A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0D50566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1548FAB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611E6D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7942D93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5B76DCD2" w14:textId="0C4CAAE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7A0B202C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3F7B051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3AAABCBC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6D3042F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290BCEB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71E9EC8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611E6D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3265C51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68430070" w14:textId="6C2FD77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086F480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7E01D7B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1CECBFE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30D613E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094D558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0EFF88BA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11E6D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662EBB7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22A3DE2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06715AC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4E39DCB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668C040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6CB10C2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6745559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4452AEB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11E6D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1E58657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72025CE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7B40555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2B84067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2769FAF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112CF4E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50D50B9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3D66BF4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11E6D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641D643E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286A96AC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051683F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BE781E3" w14:textId="3758FCF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61CE745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1C370DD8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2D24525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3B907CB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11E6D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73BAD41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DBF4D37" w14:textId="60660B2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24258FA7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5EE35111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7FA8BD3A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7C919DC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2730F86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70D960AC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611E6D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6C61EB6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56D4826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28A206F0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358699F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130A0599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5372C6C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316D12A6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525BE79D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11E6D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611E6D" w:rsidRPr="009A1837" w:rsidRDefault="00611E6D" w:rsidP="00611E6D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E40F50B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5" w:type="dxa"/>
            <w:noWrap/>
            <w:vAlign w:val="bottom"/>
          </w:tcPr>
          <w:p w14:paraId="5FF2C6DC" w14:textId="34E7BD8A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7FC3C1B5" w14:textId="121AA6D3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4CD49805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24C7567F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628FF52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13C04A32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2076FF94" w:rsidR="00611E6D" w:rsidRPr="009A1837" w:rsidRDefault="00611E6D" w:rsidP="00611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11E6D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611E6D" w:rsidRPr="009A1837" w:rsidRDefault="00611E6D" w:rsidP="00611E6D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3F7F71AD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5" w:type="dxa"/>
            <w:noWrap/>
            <w:vAlign w:val="bottom"/>
          </w:tcPr>
          <w:p w14:paraId="69828353" w14:textId="780730A9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2" w:type="dxa"/>
            <w:noWrap/>
            <w:vAlign w:val="bottom"/>
          </w:tcPr>
          <w:p w14:paraId="4EF4F4D9" w14:textId="04489867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noWrap/>
            <w:vAlign w:val="bottom"/>
          </w:tcPr>
          <w:p w14:paraId="2661FFAD" w14:textId="7E06FC3B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502CEE76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2E15FB4F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4741370D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44D2D761" w:rsidR="00611E6D" w:rsidRPr="00611E6D" w:rsidRDefault="00611E6D" w:rsidP="00611E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1E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083F9D9A" w14:textId="7F4055BC" w:rsidR="00862008" w:rsidRPr="00862008" w:rsidRDefault="0008292D" w:rsidP="00862008">
      <w:pPr>
        <w:spacing w:before="100" w:beforeAutospacing="1" w:after="100" w:afterAutospacing="1"/>
      </w:pPr>
      <w:r w:rsidRPr="0008292D">
        <w:drawing>
          <wp:inline distT="0" distB="0" distL="0" distR="0" wp14:anchorId="5E3CCEAF" wp14:editId="3BEFF2BF">
            <wp:extent cx="6858000" cy="6226810"/>
            <wp:effectExtent l="0" t="0" r="0" b="2540"/>
            <wp:docPr id="129961743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1743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F31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8.0399999999999991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9.59</c:v>
                </c:pt>
                <c:pt idx="19">
                  <c:v>8.7799999999999994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8</c:v>
                </c:pt>
                <c:pt idx="19">
                  <c:v>10</c:v>
                </c:pt>
                <c:pt idx="2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4</c:v>
                </c:pt>
                <c:pt idx="1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7.63</c:v>
                </c:pt>
                <c:pt idx="18">
                  <c:v>9.64</c:v>
                </c:pt>
                <c:pt idx="19">
                  <c:v>10.59</c:v>
                </c:pt>
                <c:pt idx="20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110</c:v>
                </c:pt>
                <c:pt idx="18">
                  <c:v>141</c:v>
                </c:pt>
                <c:pt idx="19">
                  <c:v>194</c:v>
                </c:pt>
                <c:pt idx="20">
                  <c:v>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5.1724137931034484</c:v>
                </c:pt>
                <c:pt idx="7">
                  <c:v>6.1016949152542379</c:v>
                </c:pt>
                <c:pt idx="8">
                  <c:v>4.9668874172185431</c:v>
                </c:pt>
                <c:pt idx="9">
                  <c:v>7.3825503355704702</c:v>
                </c:pt>
                <c:pt idx="10">
                  <c:v>5.629139072847682</c:v>
                </c:pt>
                <c:pt idx="11">
                  <c:v>6.3492063492063489</c:v>
                </c:pt>
                <c:pt idx="12">
                  <c:v>5.6886227544910177</c:v>
                </c:pt>
                <c:pt idx="13">
                  <c:v>6.1728395061728394</c:v>
                </c:pt>
                <c:pt idx="14">
                  <c:v>9.2261904761904763</c:v>
                </c:pt>
                <c:pt idx="15">
                  <c:v>8.6816720257234739</c:v>
                </c:pt>
                <c:pt idx="16">
                  <c:v>9.2261904761904763</c:v>
                </c:pt>
                <c:pt idx="17">
                  <c:v>7.2507552870090644</c:v>
                </c:pt>
                <c:pt idx="18">
                  <c:v>10.289389067524116</c:v>
                </c:pt>
                <c:pt idx="19">
                  <c:v>13.043478260869565</c:v>
                </c:pt>
                <c:pt idx="20">
                  <c:v>10.884353741496598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9.2815533980582519</c:v>
                </c:pt>
                <c:pt idx="19">
                  <c:v>10.731707317073171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37</c:v>
                </c:pt>
                <c:pt idx="18">
                  <c:v>55</c:v>
                </c:pt>
                <c:pt idx="19">
                  <c:v>70</c:v>
                </c:pt>
                <c:pt idx="20">
                  <c:v>39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65</c:v>
                </c:pt>
                <c:pt idx="20">
                  <c:v>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641</c:v>
                </c:pt>
                <c:pt idx="1">
                  <c:v>621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173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1837</c:v>
                </c:pt>
                <c:pt idx="20">
                  <c:v>1473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279</c:v>
                </c:pt>
                <c:pt idx="20">
                  <c:v>313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21</c:v>
                </c:pt>
                <c:pt idx="1">
                  <c:v>60</c:v>
                </c:pt>
                <c:pt idx="2">
                  <c:v>104</c:v>
                </c:pt>
                <c:pt idx="3">
                  <c:v>195</c:v>
                </c:pt>
                <c:pt idx="4">
                  <c:v>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1142</c:v>
                </c:pt>
                <c:pt idx="1">
                  <c:v>3152</c:v>
                </c:pt>
                <c:pt idx="2">
                  <c:v>2518</c:v>
                </c:pt>
                <c:pt idx="3">
                  <c:v>1437</c:v>
                </c:pt>
                <c:pt idx="4">
                  <c:v>1731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827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7</cp:revision>
  <cp:lastPrinted>2025-01-21T18:02:00Z</cp:lastPrinted>
  <dcterms:created xsi:type="dcterms:W3CDTF">2025-02-25T18:40:00Z</dcterms:created>
  <dcterms:modified xsi:type="dcterms:W3CDTF">2025-02-25T19:06:00Z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