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210EFA4F" w:rsidR="00272295" w:rsidRDefault="004B030B" w:rsidP="00697B1E">
      <w:r>
        <w:t xml:space="preserve">February </w:t>
      </w:r>
      <w:r w:rsidR="005D186C">
        <w:t>1</w:t>
      </w:r>
      <w:r w:rsidR="00101B28">
        <w:t>8</w:t>
      </w:r>
      <w:r w:rsidR="00337F3B">
        <w:t>, 202</w:t>
      </w:r>
      <w:r w:rsidR="00B75D30">
        <w:t>5</w:t>
      </w:r>
    </w:p>
    <w:p w14:paraId="4E65E6AD" w14:textId="03797752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101B28">
        <w:t>7</w:t>
      </w:r>
      <w:r w:rsidR="00816D7A" w:rsidRPr="00FD1CC0">
        <w:t xml:space="preserve"> (ending </w:t>
      </w:r>
      <w:r w:rsidR="004B030B">
        <w:t>2</w:t>
      </w:r>
      <w:r w:rsidR="00D37AB5">
        <w:t>/</w:t>
      </w:r>
      <w:r w:rsidR="00101B28">
        <w:t>15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555EB2">
        <w:rPr>
          <w:b/>
          <w:bCs/>
        </w:rPr>
        <w:t>U</w:t>
      </w:r>
      <w:r w:rsidR="00531811" w:rsidRPr="00555EB2">
        <w:rPr>
          <w:b/>
          <w:bCs/>
        </w:rPr>
        <w:t>.S. Outpatient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4FD0A70C" w:rsidR="00673D41" w:rsidRPr="00615AE8" w:rsidRDefault="00101B28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9.04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5B95DBFB" w:rsidR="00673D41" w:rsidRPr="00F54653" w:rsidRDefault="00C3456E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01B28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698DD5B1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186BD3FD" w:rsidR="005C2BB6" w:rsidRPr="00364EE2" w:rsidRDefault="00101B28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9.91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558E28A5" w:rsidR="005C2BB6" w:rsidRPr="00FE11DD" w:rsidRDefault="00101B28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1.54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3D93257" w:rsidR="00F226A4" w:rsidRPr="005B36F3" w:rsidRDefault="005D186C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01B28">
              <w:rPr>
                <w:b/>
                <w:bCs/>
              </w:rPr>
              <w:t>45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02767BEB" w:rsidR="00F226A4" w:rsidRPr="00FE11DD" w:rsidRDefault="00101B28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711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543FDC9A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3A644C2C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27EBF8C8" w:rsidR="00531811" w:rsidRPr="00615AE8" w:rsidRDefault="00101B28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8.39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3036C9CE" w:rsidR="00531811" w:rsidRPr="006454D1" w:rsidRDefault="00101B28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38FE9E64" w:rsidR="00615AE8" w:rsidRPr="006454D1" w:rsidRDefault="009A415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01B28">
              <w:rPr>
                <w:b/>
                <w:bCs/>
              </w:rPr>
              <w:t>9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46FE564C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6AF2DEE9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101B28">
              <w:rPr>
                <w:b/>
              </w:rPr>
              <w:t>7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19AAA2B4" w:rsidR="00771A38" w:rsidRPr="009B75A7" w:rsidRDefault="00101B28" w:rsidP="004B40FE">
            <w:pPr>
              <w:jc w:val="center"/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2515" w:type="dxa"/>
          </w:tcPr>
          <w:p w14:paraId="583B98F5" w14:textId="6C3AA8AD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101B28">
              <w:rPr>
                <w:bCs/>
              </w:rPr>
              <w:t>326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07E31A17" w:rsidR="00771A38" w:rsidRPr="009B75A7" w:rsidRDefault="00101B28" w:rsidP="004B40FE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72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6FBFE7C8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101B28">
              <w:rPr>
                <w:bCs/>
              </w:rPr>
              <w:t>230</w:t>
            </w:r>
            <w:r w:rsidR="001F0369">
              <w:rPr>
                <w:bCs/>
              </w:rPr>
              <w:t xml:space="preserve"> (</w:t>
            </w:r>
            <w:r w:rsidR="00101B28">
              <w:rPr>
                <w:bCs/>
              </w:rPr>
              <w:t>3</w:t>
            </w:r>
            <w:r w:rsidR="004B030B">
              <w:rPr>
                <w:bCs/>
              </w:rPr>
              <w:t>2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5D2603D9" w:rsidR="00771A38" w:rsidRPr="009B75A7" w:rsidRDefault="00101B28" w:rsidP="004B40F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CA42EE">
              <w:rPr>
                <w:bCs/>
              </w:rPr>
              <w:t xml:space="preserve"> (</w:t>
            </w:r>
            <w:r w:rsidR="009A4153">
              <w:rPr>
                <w:bCs/>
              </w:rPr>
              <w:t>3</w:t>
            </w:r>
            <w:r>
              <w:rPr>
                <w:bCs/>
              </w:rPr>
              <w:t>0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64832A3A" w:rsidR="00771A38" w:rsidRPr="003D117B" w:rsidRDefault="009A4153" w:rsidP="004B40F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101B28">
              <w:rPr>
                <w:bCs/>
              </w:rPr>
              <w:t>34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101B28">
              <w:rPr>
                <w:bCs/>
              </w:rPr>
              <w:t>3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1F7C59CD" w:rsidR="00771A38" w:rsidRPr="009B75A7" w:rsidRDefault="00101B28" w:rsidP="004B40F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CA42EE">
              <w:rPr>
                <w:bCs/>
              </w:rPr>
              <w:t xml:space="preserve"> (</w:t>
            </w:r>
            <w:r w:rsidR="009A4153">
              <w:rPr>
                <w:bCs/>
              </w:rPr>
              <w:t>27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14002F38" w:rsidR="00771A38" w:rsidRPr="003D117B" w:rsidRDefault="00101B28" w:rsidP="004B40FE">
            <w:pPr>
              <w:jc w:val="center"/>
              <w:rPr>
                <w:bCs/>
              </w:rPr>
            </w:pPr>
            <w:r>
              <w:rPr>
                <w:bCs/>
              </w:rPr>
              <w:t>531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>
              <w:rPr>
                <w:bCs/>
              </w:rPr>
              <w:t>3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6DD8FB7F" w:rsidR="00771A38" w:rsidRPr="009B75A7" w:rsidRDefault="00101B28" w:rsidP="004B40FE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43</w:t>
            </w:r>
            <w:r w:rsidR="004B030B">
              <w:rPr>
                <w:bCs/>
              </w:rPr>
              <w:t xml:space="preserve">%) </w:t>
            </w:r>
          </w:p>
        </w:tc>
        <w:tc>
          <w:tcPr>
            <w:tcW w:w="2515" w:type="dxa"/>
          </w:tcPr>
          <w:p w14:paraId="21012191" w14:textId="22BA5D8B" w:rsidR="00771A38" w:rsidRPr="003D117B" w:rsidRDefault="009A4153" w:rsidP="009F53C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01B28">
              <w:rPr>
                <w:bCs/>
              </w:rPr>
              <w:t>65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1</w:t>
            </w:r>
            <w:r w:rsidR="00101B28">
              <w:rPr>
                <w:bCs/>
              </w:rPr>
              <w:t>3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11DA6C39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75D510BD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FC7069" w:rsidRDefault="00771A38" w:rsidP="002E3C1F">
            <w:pPr>
              <w:jc w:val="center"/>
              <w:rPr>
                <w:b/>
              </w:rPr>
            </w:pPr>
            <w:r w:rsidRPr="00FC7069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7E698349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101B28">
              <w:rPr>
                <w:b/>
              </w:rPr>
              <w:t>7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6E2D004D" w:rsidR="000D6C22" w:rsidRPr="00EC39E9" w:rsidRDefault="004B030B" w:rsidP="004B03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1B34DECB" w:rsidR="000D6C22" w:rsidRPr="000C44D2" w:rsidRDefault="009331DF" w:rsidP="000D6C2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C7069">
              <w:rPr>
                <w:bCs/>
              </w:rPr>
              <w:t>2</w:t>
            </w:r>
            <w:r w:rsidR="00651414">
              <w:rPr>
                <w:bCs/>
              </w:rPr>
              <w:t>,</w:t>
            </w:r>
            <w:r w:rsidR="00FC7069">
              <w:rPr>
                <w:bCs/>
              </w:rPr>
              <w:t>260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4D95E2B8" w:rsidR="000D6C22" w:rsidRPr="00EC39E9" w:rsidRDefault="004B030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4D4C30BE" w:rsidR="000D6C22" w:rsidRPr="000C44D2" w:rsidRDefault="00FC7069" w:rsidP="000D6C2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51414">
              <w:rPr>
                <w:bCs/>
              </w:rPr>
              <w:t>,</w:t>
            </w:r>
            <w:r>
              <w:rPr>
                <w:bCs/>
              </w:rPr>
              <w:t>182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10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2C9FB422" w:rsidR="000D6C22" w:rsidRPr="00EC39E9" w:rsidRDefault="004B030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3DE14767" w:rsidR="000D6C22" w:rsidRPr="000C44D2" w:rsidRDefault="00FC7069" w:rsidP="000D6C22">
            <w:pPr>
              <w:jc w:val="center"/>
              <w:rPr>
                <w:bCs/>
              </w:rPr>
            </w:pPr>
            <w:r>
              <w:rPr>
                <w:bCs/>
              </w:rPr>
              <w:t>2,060</w:t>
            </w:r>
            <w:r w:rsidR="00BA2243">
              <w:rPr>
                <w:bCs/>
              </w:rPr>
              <w:t xml:space="preserve"> (9</w:t>
            </w:r>
            <w:r>
              <w:rPr>
                <w:bCs/>
              </w:rPr>
              <w:t>4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52F67F36" w:rsidR="000D6C22" w:rsidRPr="00EC39E9" w:rsidRDefault="004B030B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1B7313E" w:rsidR="000D6C22" w:rsidRPr="000C44D2" w:rsidRDefault="00FC7069" w:rsidP="000D6C22">
            <w:pPr>
              <w:jc w:val="center"/>
              <w:rPr>
                <w:bCs/>
              </w:rPr>
            </w:pPr>
            <w:r>
              <w:rPr>
                <w:bCs/>
              </w:rPr>
              <w:t>122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6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1F1CB082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64238BCA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101B28">
              <w:rPr>
                <w:b/>
              </w:rPr>
              <w:t>7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46118F50" w:rsidR="0025564A" w:rsidRPr="009B75A7" w:rsidRDefault="00101B28" w:rsidP="000C44D2">
            <w:pPr>
              <w:jc w:val="center"/>
              <w:rPr>
                <w:bCs/>
              </w:rPr>
            </w:pPr>
            <w:r>
              <w:rPr>
                <w:bCs/>
              </w:rPr>
              <w:t>355</w:t>
            </w:r>
          </w:p>
        </w:tc>
        <w:tc>
          <w:tcPr>
            <w:tcW w:w="2515" w:type="dxa"/>
          </w:tcPr>
          <w:p w14:paraId="615F4E2C" w14:textId="4685B5C4" w:rsidR="0025564A" w:rsidRPr="004A56EB" w:rsidRDefault="004B030B" w:rsidP="000C44D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101B28">
              <w:rPr>
                <w:bCs/>
              </w:rPr>
              <w:t>902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684D3C53" w:rsidR="0025564A" w:rsidRPr="009B75A7" w:rsidRDefault="009A4153" w:rsidP="000C44D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101B28">
              <w:rPr>
                <w:bCs/>
              </w:rPr>
              <w:t>664</w:t>
            </w:r>
          </w:p>
        </w:tc>
        <w:tc>
          <w:tcPr>
            <w:tcW w:w="2515" w:type="dxa"/>
          </w:tcPr>
          <w:p w14:paraId="3EC6D09F" w14:textId="622DA08C" w:rsidR="0025564A" w:rsidRPr="004A56EB" w:rsidRDefault="00101B28" w:rsidP="000C44D2">
            <w:pPr>
              <w:jc w:val="center"/>
              <w:rPr>
                <w:bCs/>
              </w:rPr>
            </w:pPr>
            <w:r>
              <w:rPr>
                <w:bCs/>
              </w:rPr>
              <w:t>7,063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1AA04EB1" w:rsidR="0025564A" w:rsidRPr="009B75A7" w:rsidRDefault="009A4153" w:rsidP="00FA5E3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101B28">
              <w:rPr>
                <w:bCs/>
              </w:rPr>
              <w:t>754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87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04072293" w:rsidR="0025564A" w:rsidRPr="004A56EB" w:rsidRDefault="00101B28" w:rsidP="000C44D2">
            <w:pPr>
              <w:jc w:val="center"/>
              <w:rPr>
                <w:bCs/>
              </w:rPr>
            </w:pPr>
            <w:r>
              <w:rPr>
                <w:bCs/>
              </w:rPr>
              <w:t>8,053</w:t>
            </w:r>
            <w:r w:rsidR="00AA1086">
              <w:rPr>
                <w:bCs/>
              </w:rPr>
              <w:t xml:space="preserve"> (9</w:t>
            </w:r>
            <w:r>
              <w:rPr>
                <w:bCs/>
              </w:rPr>
              <w:t>0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42983E82" w:rsidR="0025564A" w:rsidRPr="009B75A7" w:rsidRDefault="009A4153" w:rsidP="00FB640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01B28">
              <w:rPr>
                <w:bCs/>
              </w:rPr>
              <w:t>65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13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3016AF21" w:rsidR="0025564A" w:rsidRPr="004A56EB" w:rsidRDefault="00101B28" w:rsidP="009F53C2">
            <w:pPr>
              <w:jc w:val="center"/>
              <w:rPr>
                <w:bCs/>
              </w:rPr>
            </w:pPr>
            <w:r>
              <w:rPr>
                <w:bCs/>
              </w:rPr>
              <w:t>912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10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30A1908B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36F9F01F" w:rsidR="00697B1E" w:rsidRPr="00050158" w:rsidRDefault="002C6AF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7E63224F" w:rsidR="00697B1E" w:rsidRPr="00050158" w:rsidRDefault="0086200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50.9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786FA25C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101B28">
        <w:rPr>
          <w:b/>
          <w:noProof/>
        </w:rPr>
        <w:t>7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EB3C35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05838C80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0AA213E8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058314D2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61084D93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High</w:t>
            </w:r>
          </w:p>
        </w:tc>
      </w:tr>
      <w:tr w:rsidR="00EB3C35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189E0850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7D54D91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0E3B0465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6B7EE069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Moderate</w:t>
            </w:r>
          </w:p>
        </w:tc>
      </w:tr>
      <w:tr w:rsidR="00EB3C35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17497FE2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5D67E233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52A5499E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6A36D6AA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Moderate</w:t>
            </w:r>
          </w:p>
        </w:tc>
      </w:tr>
      <w:tr w:rsidR="00EB3C35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31B512D0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24A7E8EE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451051D5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3545570C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Moderate</w:t>
            </w:r>
          </w:p>
        </w:tc>
      </w:tr>
      <w:tr w:rsidR="00EB3C35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22EEDAE4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054AF933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542220CA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06197CD9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High</w:t>
            </w:r>
          </w:p>
        </w:tc>
      </w:tr>
      <w:tr w:rsidR="00EB3C35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5BCA83C8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40CB9EAC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0468157B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4CF7784E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High</w:t>
            </w:r>
          </w:p>
        </w:tc>
      </w:tr>
      <w:tr w:rsidR="00EB3C35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278EF36E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47DF816A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0DB6016A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42789D59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Low</w:t>
            </w:r>
          </w:p>
        </w:tc>
      </w:tr>
      <w:tr w:rsidR="00EB3C35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32692BEE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65DB97A5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13B58677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3339C25A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Moderate</w:t>
            </w:r>
          </w:p>
        </w:tc>
      </w:tr>
      <w:tr w:rsidR="00EB3C35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79B6DFC7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4D343891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74E94F2A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74F3417E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Moderate</w:t>
            </w:r>
          </w:p>
        </w:tc>
      </w:tr>
      <w:tr w:rsidR="00EB3C35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4612BD57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0F1F71AD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4877559E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19FA10A4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Moderate</w:t>
            </w:r>
          </w:p>
        </w:tc>
      </w:tr>
      <w:tr w:rsidR="00EB3C35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2693D8D1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19B6128D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4BB87646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72A66D20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Very High</w:t>
            </w:r>
          </w:p>
        </w:tc>
      </w:tr>
      <w:tr w:rsidR="00EB3C35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1B9867C4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05CE8334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181AB679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4B8DC351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Moderate</w:t>
            </w:r>
          </w:p>
        </w:tc>
      </w:tr>
      <w:tr w:rsidR="00EB3C35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401FCA43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3DB818DB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782EBC07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203A8F2C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High</w:t>
            </w:r>
          </w:p>
        </w:tc>
      </w:tr>
      <w:tr w:rsidR="00EB3C35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5F3765AD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0B1E3D4C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25A93339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0A7F3325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Moderate</w:t>
            </w:r>
          </w:p>
        </w:tc>
      </w:tr>
      <w:tr w:rsidR="00EB3C35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3D0C6879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17185CA2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25A72968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58D2ADD2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Very High</w:t>
            </w:r>
          </w:p>
        </w:tc>
      </w:tr>
      <w:tr w:rsidR="00EB3C35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EB3C35" w:rsidRPr="00EC39E9" w:rsidRDefault="00EB3C35" w:rsidP="00EB3C35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3BA4D845" w:rsidR="00EB3C35" w:rsidRPr="00B33FEE" w:rsidRDefault="00EB3C35" w:rsidP="00EB3C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76E2DA7" w:rsidR="00EB3C35" w:rsidRPr="00AE23ED" w:rsidRDefault="00EB3C35" w:rsidP="00EB3C3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3C54D67F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69E1B27E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EB3C35">
              <w:rPr>
                <w:sz w:val="22"/>
                <w:szCs w:val="22"/>
              </w:rPr>
              <w:t>Moderate</w:t>
            </w:r>
          </w:p>
        </w:tc>
      </w:tr>
      <w:tr w:rsidR="00EB3C35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EB3C35" w:rsidRPr="00EC39E9" w:rsidRDefault="00EB3C35" w:rsidP="00EB3C35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10A5005B" w:rsidR="00EB3C35" w:rsidRPr="00EB3C35" w:rsidRDefault="00EB3C35" w:rsidP="00EB3C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3C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064788A1" w:rsidR="00EB3C35" w:rsidRPr="00AE23ED" w:rsidRDefault="00EB3C35" w:rsidP="00EB3C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EB3C35" w:rsidRPr="005C4665" w:rsidRDefault="00EB3C35" w:rsidP="00EB3C35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73F7EC2E" w:rsidR="00BD2082" w:rsidRDefault="00FC7069" w:rsidP="00076584">
      <w:pPr>
        <w:ind w:left="540"/>
        <w:rPr>
          <w:b/>
          <w:noProof/>
          <w:sz w:val="20"/>
          <w:szCs w:val="20"/>
        </w:rPr>
      </w:pPr>
      <w:r w:rsidRPr="00860DED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84864" behindDoc="1" locked="0" layoutInCell="1" allowOverlap="1" wp14:anchorId="43929CF5" wp14:editId="43242716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4327" w:rsidRPr="00860DED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4BE8F5A2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>
        <w:rPr>
          <w:b/>
          <w:noProof/>
          <w:sz w:val="20"/>
          <w:szCs w:val="20"/>
        </w:rPr>
        <w:t xml:space="preserve"> </w:t>
      </w:r>
      <w:r w:rsidR="00CE3A57" w:rsidRPr="00860DED">
        <w:rPr>
          <w:b/>
          <w:noProof/>
          <w:sz w:val="20"/>
          <w:szCs w:val="20"/>
        </w:rPr>
        <w:t xml:space="preserve"> </w:t>
      </w:r>
      <w:r w:rsidR="00770445" w:rsidRPr="00FC7069">
        <w:rPr>
          <w:b/>
          <w:noProof/>
          <w:sz w:val="20"/>
          <w:szCs w:val="20"/>
        </w:rPr>
        <w:t xml:space="preserve">Influenza </w:t>
      </w:r>
      <w:r w:rsidR="00087213" w:rsidRPr="00FC7069">
        <w:rPr>
          <w:b/>
          <w:noProof/>
          <w:sz w:val="20"/>
          <w:szCs w:val="20"/>
        </w:rPr>
        <w:t>Activity</w:t>
      </w:r>
      <w:r w:rsidR="00266949" w:rsidRPr="00544327">
        <w:rPr>
          <w:b/>
          <w:noProof/>
          <w:sz w:val="20"/>
          <w:szCs w:val="20"/>
        </w:rPr>
        <w:t xml:space="preserve"> </w:t>
      </w:r>
      <w:r w:rsidR="00087213" w:rsidRPr="00544327">
        <w:rPr>
          <w:b/>
          <w:noProof/>
          <w:sz w:val="20"/>
          <w:szCs w:val="20"/>
        </w:rPr>
        <w:t>Trends</w:t>
      </w:r>
      <w:r w:rsidR="00770445" w:rsidRPr="00544327">
        <w:rPr>
          <w:b/>
          <w:noProof/>
          <w:sz w:val="20"/>
          <w:szCs w:val="20"/>
        </w:rPr>
        <w:t>,</w:t>
      </w:r>
      <w:r w:rsidR="00770445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>Maine,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101B28">
        <w:rPr>
          <w:b/>
          <w:noProof/>
          <w:sz w:val="20"/>
          <w:szCs w:val="20"/>
        </w:rPr>
        <w:t>7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FC7069">
        <w:rPr>
          <w:b/>
          <w:noProof/>
          <w:sz w:val="20"/>
          <w:szCs w:val="20"/>
        </w:rPr>
        <w:t>Influenza Severity</w:t>
      </w:r>
      <w:r w:rsidR="00670637" w:rsidRPr="00544327">
        <w:rPr>
          <w:b/>
          <w:noProof/>
          <w:sz w:val="20"/>
          <w:szCs w:val="20"/>
        </w:rPr>
        <w:t xml:space="preserve"> Estimates,</w:t>
      </w:r>
      <w:r w:rsidR="00670637" w:rsidRPr="00A11027">
        <w:rPr>
          <w:b/>
          <w:noProof/>
          <w:sz w:val="20"/>
          <w:szCs w:val="20"/>
        </w:rPr>
        <w:t xml:space="preserve"> Maine</w:t>
      </w:r>
      <w:r w:rsidR="00CF5E5E">
        <w:rPr>
          <w:b/>
          <w:noProof/>
          <w:sz w:val="20"/>
          <w:szCs w:val="20"/>
        </w:rPr>
        <w:t>,</w:t>
      </w:r>
      <w:r w:rsidR="00670637" w:rsidRPr="00CE3A57">
        <w:rPr>
          <w:b/>
          <w:noProof/>
          <w:sz w:val="20"/>
          <w:szCs w:val="20"/>
        </w:rPr>
        <w:t xml:space="preserve"> Week </w:t>
      </w:r>
      <w:r w:rsidR="00101B28">
        <w:rPr>
          <w:b/>
          <w:noProof/>
          <w:sz w:val="20"/>
          <w:szCs w:val="20"/>
        </w:rPr>
        <w:t>7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6EA10A79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9805A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4933223C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805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7A4634E0" w:rsidR="00B62A80" w:rsidRPr="009F53C2" w:rsidRDefault="006829F2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885" w:type="dxa"/>
          </w:tcPr>
          <w:p w14:paraId="75F459AB" w14:textId="5B89C33D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EB3C3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4B9F1BF7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A1CB36F" w:rsidR="00906328" w:rsidRPr="000870E7" w:rsidRDefault="00EB3C3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7432ED" w:rsidR="00906328" w:rsidRPr="00FE11DD" w:rsidRDefault="00EB3C3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117F8D57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EB3C35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7880FDD2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D0CDB5B" w14:textId="2CD10B6C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7B66D2C6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485B397B" w:rsidR="00EB3C35" w:rsidRPr="009A1837" w:rsidRDefault="00EB3C35" w:rsidP="00EB3C35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4CB44EE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7F2261FB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0F70FBDB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0D648BE6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B3C35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6E708E9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73DBCD9E" w14:textId="05D6614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0F5753FA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5A80698" w14:textId="5FBADE66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6778982A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7B77DF8E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5CE4906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4DA086F0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EB3C35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2BBB5639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5" w:type="dxa"/>
            <w:noWrap/>
            <w:vAlign w:val="bottom"/>
          </w:tcPr>
          <w:p w14:paraId="2E466281" w14:textId="6C81CFF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noWrap/>
            <w:vAlign w:val="bottom"/>
          </w:tcPr>
          <w:p w14:paraId="5D3DAD6D" w14:textId="6651E98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2332224" w14:textId="0D2B2C73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6EA4475F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1E5ED49C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5CB3323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7FC05505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EB3C35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3352977D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14B630C7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679C992A" w14:textId="5F1B40A0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7D1053CA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13ACF72C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3C602F0F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252F0AD6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066B2D0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B3C35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3B8BF135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9337B5A" w14:textId="6700B43C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70FF7BF" w14:textId="651B8F17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AA0423D" w14:textId="47DD0E91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2D1DBE2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46BF1E69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383257E1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1366E8B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B3C35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2C921386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52E26918" w14:textId="5BCA3082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6A1E6" w14:textId="68EF769B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74DDC8C5" w14:textId="0CCB5083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17B0D3C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4B1F953A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1D03D30B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18F9AC21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B3C35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5764F1B9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7392699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7336BBF2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4291440" w14:textId="2B202560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2D52E76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39E9BC8B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41BFAF52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6300F219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B3C35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66A4C192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011A9E7" w14:textId="5C70A8A9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3D2EF8AC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7421CB1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64B46469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102BC313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3B7DA1B0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5FEABBC1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B3C35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51C04F3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5B76DCD2" w14:textId="359DDABF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67470109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51F112AA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6612D257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0524A7C7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7A41D4AF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0EFF8270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EB3C35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3EDC0301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68430070" w14:textId="636F6FCD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6D74AD04" w14:textId="1D291BC9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38C74E8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50A3A80F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276C759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0E75D8E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0A27B61E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B3C35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130FFC0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30507ADC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24A41DB5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7578FA3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18434B01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0B67720F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0AEF4AA0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5D464886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B3C35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31E9D0AB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1E10D0F" w14:textId="2CD8B8F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5036B5B3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4666E74D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2BF33D82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5B1FA77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0C0E3442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0D72D55E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B3C35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2E11D9F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F688715" w14:textId="12859DAB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7CBA19AA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5BE781E3" w14:textId="24222E3E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246FFFD1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13D5B1DF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397BA411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7B14699C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B3C35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68DA7800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DBF4D37" w14:textId="7F6FDCC7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1F6165B5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EF586D2" w14:textId="4B0AA486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7E2A1F5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1EDD3A0C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6B42B6C0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6A0DEAD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EB3C35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52483193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1DF164EF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06EAB9C8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11E045A9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357C0594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72ADC757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1F11696F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66C9EED2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B3C35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EB3C35" w:rsidRPr="009A1837" w:rsidRDefault="00EB3C35" w:rsidP="00EB3C35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6EEBEE5B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5" w:type="dxa"/>
            <w:noWrap/>
            <w:vAlign w:val="bottom"/>
          </w:tcPr>
          <w:p w14:paraId="5FF2C6DC" w14:textId="40516C6E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7FC3C1B5" w14:textId="01DBA2F9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642D1C3C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0E53B97F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40B8F47A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7C6E1436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765D39DD" w:rsidR="00EB3C35" w:rsidRPr="009A1837" w:rsidRDefault="00EB3C35" w:rsidP="00EB3C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EB3C35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EB3C35" w:rsidRPr="009A1837" w:rsidRDefault="00EB3C35" w:rsidP="00EB3C35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1B1CE56F" w:rsidR="00EB3C35" w:rsidRPr="00EB3C35" w:rsidRDefault="00EB3C35" w:rsidP="00EB3C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C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05" w:type="dxa"/>
            <w:noWrap/>
            <w:vAlign w:val="bottom"/>
          </w:tcPr>
          <w:p w14:paraId="69828353" w14:textId="4CE10DBA" w:rsidR="00EB3C35" w:rsidRPr="00EB3C35" w:rsidRDefault="00EB3C35" w:rsidP="00EB3C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C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2" w:type="dxa"/>
            <w:noWrap/>
            <w:vAlign w:val="bottom"/>
          </w:tcPr>
          <w:p w14:paraId="4EF4F4D9" w14:textId="393FC81D" w:rsidR="00EB3C35" w:rsidRPr="00EB3C35" w:rsidRDefault="00EB3C35" w:rsidP="00EB3C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C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5" w:type="dxa"/>
            <w:noWrap/>
            <w:vAlign w:val="bottom"/>
          </w:tcPr>
          <w:p w14:paraId="2661FFAD" w14:textId="3CC5061A" w:rsidR="00EB3C35" w:rsidRPr="00EB3C35" w:rsidRDefault="00EB3C35" w:rsidP="00EB3C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C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13CC0E01" w:rsidR="00EB3C35" w:rsidRPr="00EB3C35" w:rsidRDefault="00EB3C35" w:rsidP="00EB3C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C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7AC8DAB4" w:rsidR="00EB3C35" w:rsidRPr="00EB3C35" w:rsidRDefault="00EB3C35" w:rsidP="00EB3C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C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3FD0E61E" w:rsidR="00EB3C35" w:rsidRPr="00EB3C35" w:rsidRDefault="00EB3C35" w:rsidP="00EB3C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C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74557B70" w:rsidR="00EB3C35" w:rsidRPr="00EB3C35" w:rsidRDefault="00EB3C35" w:rsidP="00EB3C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3C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083F9D9A" w14:textId="78980073" w:rsidR="00862008" w:rsidRPr="00862008" w:rsidRDefault="00862008" w:rsidP="00862008">
      <w:pPr>
        <w:spacing w:before="100" w:beforeAutospacing="1" w:after="100" w:afterAutospacing="1"/>
      </w:pPr>
      <w:r w:rsidRPr="00862008">
        <w:drawing>
          <wp:inline distT="0" distB="0" distL="0" distR="0" wp14:anchorId="3CB1B37D" wp14:editId="226180AA">
            <wp:extent cx="6858000" cy="6250940"/>
            <wp:effectExtent l="0" t="0" r="0" b="0"/>
            <wp:docPr id="1001351208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51208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5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2685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09D7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27351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5.77</c:v>
                </c:pt>
                <c:pt idx="18">
                  <c:v>6.91</c:v>
                </c:pt>
                <c:pt idx="19">
                  <c:v>9.0399999999999991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5</c:v>
                </c:pt>
                <c:pt idx="14">
                  <c:v>4.66</c:v>
                </c:pt>
                <c:pt idx="15">
                  <c:v>5.99</c:v>
                </c:pt>
                <c:pt idx="16">
                  <c:v>7.59</c:v>
                </c:pt>
                <c:pt idx="17">
                  <c:v>8.9</c:v>
                </c:pt>
                <c:pt idx="18">
                  <c:v>9.4600000000000009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4</c:v>
                </c:pt>
                <c:pt idx="1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6.77</c:v>
                </c:pt>
                <c:pt idx="17">
                  <c:v>7.41</c:v>
                </c:pt>
                <c:pt idx="18">
                  <c:v>9.08</c:v>
                </c:pt>
                <c:pt idx="19">
                  <c:v>9.91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110</c:v>
                </c:pt>
                <c:pt idx="18">
                  <c:v>141</c:v>
                </c:pt>
                <c:pt idx="19">
                  <c:v>145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5.1724137931034484</c:v>
                </c:pt>
                <c:pt idx="7">
                  <c:v>6.1016949152542379</c:v>
                </c:pt>
                <c:pt idx="8">
                  <c:v>4.9668874172185431</c:v>
                </c:pt>
                <c:pt idx="9">
                  <c:v>7.3825503355704702</c:v>
                </c:pt>
                <c:pt idx="10">
                  <c:v>5.629139072847682</c:v>
                </c:pt>
                <c:pt idx="11">
                  <c:v>6.3492063492063489</c:v>
                </c:pt>
                <c:pt idx="12">
                  <c:v>5.6886227544910177</c:v>
                </c:pt>
                <c:pt idx="13">
                  <c:v>6.1728395061728394</c:v>
                </c:pt>
                <c:pt idx="14">
                  <c:v>9.2261904761904763</c:v>
                </c:pt>
                <c:pt idx="15">
                  <c:v>8.6816720257234739</c:v>
                </c:pt>
                <c:pt idx="16">
                  <c:v>9.2261904761904763</c:v>
                </c:pt>
                <c:pt idx="17">
                  <c:v>7.2507552870090644</c:v>
                </c:pt>
                <c:pt idx="18">
                  <c:v>10.702341137123746</c:v>
                </c:pt>
                <c:pt idx="19">
                  <c:v>8.3916083916083917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8.9642184557438789</c:v>
                </c:pt>
                <c:pt idx="18">
                  <c:v>9.5537397862979248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37</c:v>
                </c:pt>
                <c:pt idx="18">
                  <c:v>38</c:v>
                </c:pt>
                <c:pt idx="19">
                  <c:v>19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30</c:v>
                </c:pt>
                <c:pt idx="19">
                  <c:v>17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34</c:v>
                </c:pt>
                <c:pt idx="18">
                  <c:v>58</c:v>
                </c:pt>
                <c:pt idx="19">
                  <c:v>28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534</c:v>
                </c:pt>
                <c:pt idx="1">
                  <c:v>531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165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3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532</c:v>
                </c:pt>
                <c:pt idx="15">
                  <c:v>694</c:v>
                </c:pt>
                <c:pt idx="16">
                  <c:v>1049</c:v>
                </c:pt>
                <c:pt idx="17">
                  <c:v>1326</c:v>
                </c:pt>
                <c:pt idx="18">
                  <c:v>1659</c:v>
                </c:pt>
                <c:pt idx="19">
                  <c:v>1754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80</c:v>
                </c:pt>
                <c:pt idx="17">
                  <c:v>172</c:v>
                </c:pt>
                <c:pt idx="18">
                  <c:v>246</c:v>
                </c:pt>
                <c:pt idx="19">
                  <c:v>265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13</c:v>
                </c:pt>
                <c:pt idx="1">
                  <c:v>50</c:v>
                </c:pt>
                <c:pt idx="2">
                  <c:v>87</c:v>
                </c:pt>
                <c:pt idx="3">
                  <c:v>155</c:v>
                </c:pt>
                <c:pt idx="4">
                  <c:v>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924</c:v>
                </c:pt>
                <c:pt idx="1">
                  <c:v>2700</c:v>
                </c:pt>
                <c:pt idx="2">
                  <c:v>2059</c:v>
                </c:pt>
                <c:pt idx="3">
                  <c:v>1178</c:v>
                </c:pt>
                <c:pt idx="4">
                  <c:v>1438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826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6</cp:revision>
  <cp:lastPrinted>2025-01-21T18:02:00Z</cp:lastPrinted>
  <dcterms:created xsi:type="dcterms:W3CDTF">2025-02-18T18:21:00Z</dcterms:created>
  <dcterms:modified xsi:type="dcterms:W3CDTF">2025-02-18T18:52:00Z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