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46898FF" w:rsidR="00272295" w:rsidRDefault="004B030B" w:rsidP="00697B1E">
      <w:r>
        <w:t xml:space="preserve">February </w:t>
      </w:r>
      <w:r w:rsidR="005D186C">
        <w:t>11</w:t>
      </w:r>
      <w:r w:rsidR="00337F3B">
        <w:t>, 202</w:t>
      </w:r>
      <w:r w:rsidR="00B75D30">
        <w:t>5</w:t>
      </w:r>
    </w:p>
    <w:p w14:paraId="4E65E6AD" w14:textId="11CA5E48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5D186C">
        <w:t>6</w:t>
      </w:r>
      <w:r w:rsidR="00816D7A" w:rsidRPr="00FD1CC0">
        <w:t xml:space="preserve"> (ending </w:t>
      </w:r>
      <w:r w:rsidR="004B030B">
        <w:t>2</w:t>
      </w:r>
      <w:r w:rsidR="00D37AB5">
        <w:t>/</w:t>
      </w:r>
      <w:r w:rsidR="005D186C">
        <w:t>8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555EB2">
        <w:rPr>
          <w:b/>
          <w:bCs/>
        </w:rPr>
        <w:t>U</w:t>
      </w:r>
      <w:r w:rsidR="00531811" w:rsidRPr="00555EB2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278B30E6" w:rsidR="00673D41" w:rsidRPr="00615AE8" w:rsidRDefault="005D186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6.91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5A814439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B030B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1CB837A5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6A08386F" w:rsidR="005C2BB6" w:rsidRPr="00364EE2" w:rsidRDefault="005D186C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7.97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22F2E266" w:rsidR="005C2BB6" w:rsidRPr="00FE11DD" w:rsidRDefault="00BA224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4B030B">
              <w:rPr>
                <w:b/>
                <w:bCs/>
              </w:rPr>
              <w:t>98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77F90140" w:rsidR="00F226A4" w:rsidRPr="005B36F3" w:rsidRDefault="005D186C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DF33C25" w:rsidR="00F226A4" w:rsidRPr="00FE11DD" w:rsidRDefault="005D186C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74D99D6B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104FE21B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7BAE792C" w:rsidR="00531811" w:rsidRPr="00615AE8" w:rsidRDefault="009A4153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11.26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8DE212D" w:rsidR="00531811" w:rsidRPr="006454D1" w:rsidRDefault="009A415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4DEB52C5" w:rsidR="00615AE8" w:rsidRPr="006454D1" w:rsidRDefault="009A415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5E4C6565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A64E7D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A4153">
              <w:rPr>
                <w:b/>
              </w:rPr>
              <w:t>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4F3700DC" w:rsidR="00771A38" w:rsidRPr="009B75A7" w:rsidRDefault="009A4153" w:rsidP="004B40FE">
            <w:pPr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2515" w:type="dxa"/>
          </w:tcPr>
          <w:p w14:paraId="583B98F5" w14:textId="355BAAD2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9A4153">
              <w:rPr>
                <w:bCs/>
              </w:rPr>
              <w:t>200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7238140D" w:rsidR="00771A38" w:rsidRPr="009B75A7" w:rsidRDefault="009A4153" w:rsidP="004B40FE">
            <w:pPr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CA42EE">
              <w:rPr>
                <w:bCs/>
              </w:rPr>
              <w:t xml:space="preserve"> (</w:t>
            </w:r>
            <w:r w:rsidR="004B030B">
              <w:rPr>
                <w:bCs/>
              </w:rPr>
              <w:t>8</w:t>
            </w:r>
            <w:r>
              <w:rPr>
                <w:bCs/>
              </w:rPr>
              <w:t>6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7D4D74CC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1,103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92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5F810DFC" w:rsidR="00771A38" w:rsidRPr="009B75A7" w:rsidRDefault="009A4153" w:rsidP="004B40FE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33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12A9A64F" w:rsidR="00771A38" w:rsidRPr="003D117B" w:rsidRDefault="009A4153" w:rsidP="004B40FE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>
              <w:rPr>
                <w:bCs/>
              </w:rPr>
              <w:t>5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9640C03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A4153">
              <w:rPr>
                <w:bCs/>
              </w:rPr>
              <w:t>1</w:t>
            </w:r>
            <w:r w:rsidR="00CA42EE">
              <w:rPr>
                <w:bCs/>
              </w:rPr>
              <w:t xml:space="preserve"> (</w:t>
            </w:r>
            <w:r w:rsidR="009A4153">
              <w:rPr>
                <w:bCs/>
              </w:rPr>
              <w:t>27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0D0CA78E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A4153">
              <w:rPr>
                <w:bCs/>
              </w:rPr>
              <w:t>99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9A4153">
              <w:rPr>
                <w:bCs/>
              </w:rPr>
              <w:t>5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7F8E0361" w:rsidR="00771A38" w:rsidRPr="009B75A7" w:rsidRDefault="009A4153" w:rsidP="004B40FE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34</w:t>
            </w:r>
            <w:r w:rsidR="004B030B">
              <w:rPr>
                <w:bCs/>
              </w:rPr>
              <w:t xml:space="preserve">%) </w:t>
            </w:r>
          </w:p>
        </w:tc>
        <w:tc>
          <w:tcPr>
            <w:tcW w:w="2515" w:type="dxa"/>
          </w:tcPr>
          <w:p w14:paraId="21012191" w14:textId="3D8EBAF5" w:rsidR="00771A38" w:rsidRPr="003D117B" w:rsidRDefault="009A4153" w:rsidP="009F53C2">
            <w:pPr>
              <w:jc w:val="center"/>
              <w:rPr>
                <w:bCs/>
              </w:rPr>
            </w:pPr>
            <w:r>
              <w:rPr>
                <w:bCs/>
              </w:rPr>
              <w:t>104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10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6B0FC17F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3C319745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3859BD" w:rsidRDefault="00771A38" w:rsidP="002E3C1F">
            <w:pPr>
              <w:jc w:val="center"/>
              <w:rPr>
                <w:b/>
              </w:rPr>
            </w:pPr>
            <w:r w:rsidRPr="009331DF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33949808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A4153">
              <w:rPr>
                <w:b/>
              </w:rPr>
              <w:t>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6E2D004D" w:rsidR="000D6C22" w:rsidRPr="00EC39E9" w:rsidRDefault="004B030B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399079A2" w:rsidR="000D6C22" w:rsidRPr="000C44D2" w:rsidRDefault="009331DF" w:rsidP="000D6C2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651414">
              <w:rPr>
                <w:bCs/>
              </w:rPr>
              <w:t>,</w:t>
            </w:r>
            <w:r>
              <w:rPr>
                <w:bCs/>
              </w:rPr>
              <w:t>381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4D95E2B8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0B111535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9331DF">
              <w:rPr>
                <w:bCs/>
              </w:rPr>
              <w:t>636</w:t>
            </w:r>
            <w:r w:rsidR="00BA2243">
              <w:rPr>
                <w:bCs/>
              </w:rPr>
              <w:t xml:space="preserve"> (</w:t>
            </w:r>
            <w:r w:rsidR="009331DF">
              <w:rPr>
                <w:bCs/>
              </w:rPr>
              <w:t>8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2C9FB422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1BB85C46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F5E5E">
              <w:rPr>
                <w:bCs/>
              </w:rPr>
              <w:t>,</w:t>
            </w:r>
            <w:r w:rsidR="009331DF">
              <w:rPr>
                <w:bCs/>
              </w:rPr>
              <w:t>560</w:t>
            </w:r>
            <w:r w:rsidR="00BA2243">
              <w:rPr>
                <w:bCs/>
              </w:rPr>
              <w:t xml:space="preserve"> (9</w:t>
            </w:r>
            <w:r w:rsidR="009331DF"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52F67F36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9176E8D" w:rsidR="000D6C22" w:rsidRPr="000C44D2" w:rsidRDefault="009331DF" w:rsidP="000D6C22">
            <w:pPr>
              <w:jc w:val="center"/>
              <w:rPr>
                <w:bCs/>
              </w:rPr>
            </w:pPr>
            <w:r>
              <w:rPr>
                <w:bCs/>
              </w:rPr>
              <w:t>76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684C8A8B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2087A9B7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9A4153">
              <w:rPr>
                <w:b/>
              </w:rPr>
              <w:t>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23E842B0" w:rsidR="0025564A" w:rsidRPr="009B75A7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456</w:t>
            </w:r>
          </w:p>
        </w:tc>
        <w:tc>
          <w:tcPr>
            <w:tcW w:w="2515" w:type="dxa"/>
          </w:tcPr>
          <w:p w14:paraId="615F4E2C" w14:textId="56EB9BE6" w:rsidR="0025564A" w:rsidRPr="004A56EB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9A4153">
              <w:rPr>
                <w:bCs/>
              </w:rPr>
              <w:t>543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BF753D4" w:rsidR="0025564A" w:rsidRPr="009B75A7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1,444</w:t>
            </w:r>
          </w:p>
        </w:tc>
        <w:tc>
          <w:tcPr>
            <w:tcW w:w="2515" w:type="dxa"/>
          </w:tcPr>
          <w:p w14:paraId="3EC6D09F" w14:textId="1D7C6BAF" w:rsidR="0025564A" w:rsidRPr="004A56EB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5,404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0E1B5A42" w:rsidR="0025564A" w:rsidRPr="009B75A7" w:rsidRDefault="009A4153" w:rsidP="00FA5E32">
            <w:pPr>
              <w:jc w:val="center"/>
              <w:rPr>
                <w:bCs/>
              </w:rPr>
            </w:pPr>
            <w:r>
              <w:rPr>
                <w:bCs/>
              </w:rPr>
              <w:t>1,655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87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59DD0390" w:rsidR="0025564A" w:rsidRPr="004A56EB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6,300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1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3865B9D" w:rsidR="0025564A" w:rsidRPr="009B75A7" w:rsidRDefault="009A4153" w:rsidP="00FB640F">
            <w:pPr>
              <w:jc w:val="center"/>
              <w:rPr>
                <w:bCs/>
              </w:rPr>
            </w:pPr>
            <w:r>
              <w:rPr>
                <w:bCs/>
              </w:rPr>
              <w:t>245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13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0D5010AF" w:rsidR="0025564A" w:rsidRPr="004A56EB" w:rsidRDefault="009A4153" w:rsidP="009F53C2">
            <w:pPr>
              <w:jc w:val="center"/>
              <w:rPr>
                <w:bCs/>
              </w:rPr>
            </w:pPr>
            <w:r>
              <w:rPr>
                <w:bCs/>
              </w:rPr>
              <w:t>647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9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187C53CC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310E3D5F" w:rsidR="00697B1E" w:rsidRPr="00050158" w:rsidRDefault="0050580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4</w:t>
      </w:r>
      <w:r w:rsidR="004B030B">
        <w:rPr>
          <w:sz w:val="23"/>
          <w:szCs w:val="23"/>
        </w:rPr>
        <w:t>1</w:t>
      </w:r>
      <w:r w:rsidR="002C6AF9">
        <w:rPr>
          <w:sz w:val="23"/>
          <w:szCs w:val="23"/>
        </w:rPr>
        <w:t>.</w:t>
      </w:r>
      <w:r w:rsidR="004B030B">
        <w:rPr>
          <w:sz w:val="23"/>
          <w:szCs w:val="23"/>
        </w:rPr>
        <w:t>7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3B928408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9A4153">
        <w:rPr>
          <w:b/>
          <w:noProof/>
        </w:rPr>
        <w:t>6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9805A8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52A584BB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4C02B13D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3678A49B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3295F665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High</w:t>
            </w:r>
          </w:p>
        </w:tc>
      </w:tr>
      <w:tr w:rsidR="009805A8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1E914D11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70D581AB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0226A02C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104450CB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6E7C135E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090A33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63B913E6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46C15BB9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7F39FC5A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08F01F0C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22F32F74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2FA94E89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1B3C008C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01E766BB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7A14CD13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0557598F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Very High</w:t>
            </w:r>
          </w:p>
        </w:tc>
      </w:tr>
      <w:tr w:rsidR="009805A8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2509621F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71C86AEC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F3E6F97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1ED24CD4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Low</w:t>
            </w:r>
          </w:p>
        </w:tc>
      </w:tr>
      <w:tr w:rsidR="009805A8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272C2112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A08C490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7F40F366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4142010E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300B4843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25A74490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53C98C94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5E5F05AA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1A65F33C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57A59B10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35D86815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25097819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High</w:t>
            </w:r>
          </w:p>
        </w:tc>
      </w:tr>
      <w:tr w:rsidR="009805A8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7743D4FE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6BAD97C7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7174AF8B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7D87452A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7486A16D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30A69E10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42D77C85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3879D4D2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Very High</w:t>
            </w:r>
          </w:p>
        </w:tc>
      </w:tr>
      <w:tr w:rsidR="009805A8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50CC44FD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46B0754F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6B591DD4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0016491C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7F97D8A0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21781ED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528AD39C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D3E2466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Low</w:t>
            </w:r>
          </w:p>
        </w:tc>
      </w:tr>
      <w:tr w:rsidR="009805A8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62988B1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1502F4BA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1255C8A2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29803F80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Low</w:t>
            </w:r>
          </w:p>
        </w:tc>
      </w:tr>
      <w:tr w:rsidR="009805A8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29EB9002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3ACB39BC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6A63771F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7B10268F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High</w:t>
            </w:r>
          </w:p>
        </w:tc>
      </w:tr>
      <w:tr w:rsidR="009805A8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9805A8" w:rsidRPr="00EC39E9" w:rsidRDefault="009805A8" w:rsidP="009805A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455FB6C" w:rsidR="009805A8" w:rsidRPr="00B33FEE" w:rsidRDefault="009805A8" w:rsidP="00980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49767FE7" w:rsidR="009805A8" w:rsidRPr="00AE23ED" w:rsidRDefault="009805A8" w:rsidP="009805A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4A7B3AA2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79C1092F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9805A8">
              <w:rPr>
                <w:sz w:val="22"/>
                <w:szCs w:val="22"/>
              </w:rPr>
              <w:t>Moderate</w:t>
            </w:r>
          </w:p>
        </w:tc>
      </w:tr>
      <w:tr w:rsidR="009805A8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805A8" w:rsidRPr="00EC39E9" w:rsidRDefault="009805A8" w:rsidP="009805A8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5FA79AC" w:rsidR="009805A8" w:rsidRPr="009805A8" w:rsidRDefault="009805A8" w:rsidP="009805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05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7445FA78" w:rsidR="009805A8" w:rsidRPr="00AE23ED" w:rsidRDefault="009805A8" w:rsidP="009805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9805A8" w:rsidRPr="005C4665" w:rsidRDefault="009805A8" w:rsidP="009805A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2EFD4E69" w:rsidR="00BD2082" w:rsidRDefault="00544327" w:rsidP="00076584">
      <w:pPr>
        <w:ind w:left="540"/>
        <w:rPr>
          <w:b/>
          <w:noProof/>
          <w:sz w:val="20"/>
          <w:szCs w:val="20"/>
        </w:rPr>
      </w:pPr>
      <w:r w:rsidRPr="00860DED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0B481E5D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DED" w:rsidRPr="00860DED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3511E9EE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>
        <w:rPr>
          <w:b/>
          <w:noProof/>
          <w:sz w:val="20"/>
          <w:szCs w:val="20"/>
        </w:rPr>
        <w:t xml:space="preserve"> </w:t>
      </w:r>
      <w:r w:rsidR="00CE3A57" w:rsidRPr="00860DED">
        <w:rPr>
          <w:b/>
          <w:noProof/>
          <w:sz w:val="20"/>
          <w:szCs w:val="20"/>
        </w:rPr>
        <w:t xml:space="preserve"> </w:t>
      </w:r>
      <w:r w:rsidR="00770445" w:rsidRPr="00544327">
        <w:rPr>
          <w:b/>
          <w:noProof/>
          <w:sz w:val="20"/>
          <w:szCs w:val="20"/>
        </w:rPr>
        <w:t xml:space="preserve">Influenza </w:t>
      </w:r>
      <w:r w:rsidR="00087213" w:rsidRPr="00544327">
        <w:rPr>
          <w:b/>
          <w:noProof/>
          <w:sz w:val="20"/>
          <w:szCs w:val="20"/>
        </w:rPr>
        <w:t>Activity</w:t>
      </w:r>
      <w:r w:rsidR="00266949" w:rsidRPr="00544327">
        <w:rPr>
          <w:b/>
          <w:noProof/>
          <w:sz w:val="20"/>
          <w:szCs w:val="20"/>
        </w:rPr>
        <w:t xml:space="preserve"> </w:t>
      </w:r>
      <w:r w:rsidR="00087213" w:rsidRPr="00544327">
        <w:rPr>
          <w:b/>
          <w:noProof/>
          <w:sz w:val="20"/>
          <w:szCs w:val="20"/>
        </w:rPr>
        <w:t>Trends</w:t>
      </w:r>
      <w:r w:rsidR="00770445" w:rsidRPr="00544327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9A4153">
        <w:rPr>
          <w:b/>
          <w:noProof/>
          <w:sz w:val="20"/>
          <w:szCs w:val="20"/>
        </w:rPr>
        <w:t>6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544327">
        <w:rPr>
          <w:b/>
          <w:noProof/>
          <w:sz w:val="20"/>
          <w:szCs w:val="20"/>
        </w:rPr>
        <w:t>Influenza Severity Estimates,</w:t>
      </w:r>
      <w:r w:rsidR="00670637" w:rsidRPr="00A11027">
        <w:rPr>
          <w:b/>
          <w:noProof/>
          <w:sz w:val="20"/>
          <w:szCs w:val="20"/>
        </w:rPr>
        <w:t xml:space="preserve">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9A4153">
        <w:rPr>
          <w:b/>
          <w:noProof/>
          <w:sz w:val="20"/>
          <w:szCs w:val="20"/>
        </w:rPr>
        <w:t>6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EA10A79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805A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933223C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80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3412D191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117247">
              <w:rPr>
                <w:bCs/>
                <w:sz w:val="22"/>
                <w:szCs w:val="22"/>
              </w:rPr>
              <w:t>9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7A4634E0" w:rsidR="00B62A80" w:rsidRPr="009F53C2" w:rsidRDefault="006829F2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885" w:type="dxa"/>
          </w:tcPr>
          <w:p w14:paraId="75F459AB" w14:textId="4535C34B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9805A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931DCDC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1FB968E5" w:rsidR="00906328" w:rsidRPr="000870E7" w:rsidRDefault="00E95C8B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3DD6B59" w:rsidR="00906328" w:rsidRPr="00FE11DD" w:rsidRDefault="00E95C8B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4427141C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E95C8B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00EECCC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D0CDB5B" w14:textId="5E2DD89F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714836D4" w14:textId="5BE3336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7B3C1CAC" w:rsidR="00E95C8B" w:rsidRPr="009A1837" w:rsidRDefault="00E95C8B" w:rsidP="00E95C8B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4270653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3221AC1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0E87F8A1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44C091B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95C8B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71C0C5C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73DBCD9E" w14:textId="5AD4D7A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135132F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5A80698" w14:textId="37B91B1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3E04B43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237D317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48B3960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0D95FFA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95C8B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27C49CED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noWrap/>
            <w:vAlign w:val="bottom"/>
          </w:tcPr>
          <w:p w14:paraId="2E466281" w14:textId="6ABF948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5D3DAD6D" w14:textId="0C7840A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74C2432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60DEF60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396596CF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7831737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1B9C77B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E95C8B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4C151D1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4A5160E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009D881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76BF453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7659C56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49920CE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68BA61E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2E8BA35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95C8B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7189209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9337B5A" w14:textId="04C2F08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70FF7BF" w14:textId="7726F75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AA0423D" w14:textId="52AF0D7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6052D40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7245E9D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02EC655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5F8D492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95C8B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0A04A99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52E26918" w14:textId="35E72BBF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6A1E6" w14:textId="33567B0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4DDC8C5" w14:textId="44EE6FD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1322F325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47DF0E6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682A371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38FC0925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95C8B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30DF79C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5C002335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F5F55" w14:textId="7D5905D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4291440" w14:textId="359375FF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4B111D09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3F06627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562CAAF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43C8086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95C8B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0049FAC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011A9E7" w14:textId="2A82C9E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5B0780E1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6913941F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E78199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67CE0D81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132FB1F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4F45CAB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95C8B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44ED918B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5B76DCD2" w14:textId="26A130B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1BB23035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32D48A0" w14:textId="227CCBE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1730561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5158EA9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671FD65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1BC2376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95C8B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6AD0797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68430070" w14:textId="7B6D72F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D74AD04" w14:textId="344106F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3D3D21DD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20361DB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600DC3D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23E5319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0D1647A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95C8B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1E159AB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53B07D5B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26314451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3CF7F94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2692503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2A57534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09A9D8E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243078D9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95C8B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6EB2536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1E10D0F" w14:textId="0A459F3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2305FB4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E90C9D5" w14:textId="1965AC4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2EB3236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02D7FA2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0F15830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0C254A15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95C8B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1202E03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58E3BE6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4588D51D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BE781E3" w14:textId="0571075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18469A0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0E991C6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7E186C4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0DB99B4B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95C8B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72BB985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5CEFA1C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61C0A3DA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EF586D2" w14:textId="533FA7AE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3571E7B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47B37C4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5E221612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3B84BD2B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95C8B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0D2F171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213386B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2481BCED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3FE24079" w14:textId="59EC6AE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402D2D95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001F2C5B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4D355A6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3D63B5A4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95C8B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E95C8B" w:rsidRPr="009A1837" w:rsidRDefault="00E95C8B" w:rsidP="00E95C8B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5E666C38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5FF2C6DC" w14:textId="6903B04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7FC3C1B5" w14:textId="0A67941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639873A3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102C9930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2CE74FEC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19203957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51915906" w:rsidR="00E95C8B" w:rsidRPr="009A1837" w:rsidRDefault="00E95C8B" w:rsidP="00E95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E95C8B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E95C8B" w:rsidRPr="009A1837" w:rsidRDefault="00E95C8B" w:rsidP="00E95C8B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3B06EAFD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05" w:type="dxa"/>
            <w:noWrap/>
            <w:vAlign w:val="bottom"/>
          </w:tcPr>
          <w:p w14:paraId="69828353" w14:textId="0D57B876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22" w:type="dxa"/>
            <w:noWrap/>
            <w:vAlign w:val="bottom"/>
          </w:tcPr>
          <w:p w14:paraId="4EF4F4D9" w14:textId="7E2D3F34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5" w:type="dxa"/>
            <w:noWrap/>
            <w:vAlign w:val="bottom"/>
          </w:tcPr>
          <w:p w14:paraId="2661FFAD" w14:textId="01E09F6F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40FA4D96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74F22823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1804333E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3763862A" w:rsidR="00E95C8B" w:rsidRPr="00E95C8B" w:rsidRDefault="00E95C8B" w:rsidP="00E9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51392174" w14:textId="67F26A48" w:rsidR="004B030B" w:rsidRPr="004B030B" w:rsidRDefault="00A609D7" w:rsidP="004B030B">
      <w:pPr>
        <w:spacing w:before="100" w:beforeAutospacing="1" w:after="100" w:afterAutospacing="1"/>
      </w:pPr>
      <w:r w:rsidRPr="00A609D7">
        <w:drawing>
          <wp:inline distT="0" distB="0" distL="0" distR="0" wp14:anchorId="399A523F" wp14:editId="0560A6FA">
            <wp:extent cx="6858000" cy="6229350"/>
            <wp:effectExtent l="0" t="0" r="0" b="0"/>
            <wp:docPr id="1678640546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40546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4B3C" w14:textId="0A5523EE" w:rsidR="00295B17" w:rsidRPr="00295B17" w:rsidRDefault="00295B17" w:rsidP="00295B17">
      <w:pPr>
        <w:spacing w:before="100" w:beforeAutospacing="1" w:after="100" w:afterAutospacing="1"/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8A5"/>
    <w:rsid w:val="00863744"/>
    <w:rsid w:val="00864598"/>
    <w:rsid w:val="00864CB8"/>
    <w:rsid w:val="0086634A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5.77</c:v>
                </c:pt>
                <c:pt idx="18">
                  <c:v>6.91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5</c:v>
                </c:pt>
                <c:pt idx="14">
                  <c:v>4.66</c:v>
                </c:pt>
                <c:pt idx="15">
                  <c:v>5.99</c:v>
                </c:pt>
                <c:pt idx="16">
                  <c:v>7.59</c:v>
                </c:pt>
                <c:pt idx="17">
                  <c:v>8.8000000000000007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6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6.59</c:v>
                </c:pt>
                <c:pt idx="17">
                  <c:v>7.13</c:v>
                </c:pt>
                <c:pt idx="18">
                  <c:v>7.97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0.98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110</c:v>
                </c:pt>
                <c:pt idx="18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5.1724137931034484</c:v>
                </c:pt>
                <c:pt idx="7">
                  <c:v>6.1016949152542379</c:v>
                </c:pt>
                <c:pt idx="8">
                  <c:v>4.9668874172185431</c:v>
                </c:pt>
                <c:pt idx="9">
                  <c:v>7.3825503355704702</c:v>
                </c:pt>
                <c:pt idx="10">
                  <c:v>5.629139072847682</c:v>
                </c:pt>
                <c:pt idx="11">
                  <c:v>6.3492063492063489</c:v>
                </c:pt>
                <c:pt idx="12">
                  <c:v>5.6886227544910177</c:v>
                </c:pt>
                <c:pt idx="13">
                  <c:v>6.1728395061728394</c:v>
                </c:pt>
                <c:pt idx="14">
                  <c:v>9.2537313432835813</c:v>
                </c:pt>
                <c:pt idx="15">
                  <c:v>8.7378640776699026</c:v>
                </c:pt>
                <c:pt idx="16">
                  <c:v>9.2814371257485018</c:v>
                </c:pt>
                <c:pt idx="17">
                  <c:v>7.419354838709677</c:v>
                </c:pt>
                <c:pt idx="18">
                  <c:v>11.258278145695364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8.5388295914611714</c:v>
                </c:pt>
                <c:pt idx="17">
                  <c:v>9.2066601371204708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61</c:v>
                </c:pt>
                <c:pt idx="17">
                  <c:v>35</c:v>
                </c:pt>
                <c:pt idx="18">
                  <c:v>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65</c:v>
                </c:pt>
                <c:pt idx="17">
                  <c:v>41</c:v>
                </c:pt>
                <c:pt idx="18">
                  <c:v>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28</c:v>
                </c:pt>
                <c:pt idx="18">
                  <c:v>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500</c:v>
                </c:pt>
                <c:pt idx="1">
                  <c:v>499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104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3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534</c:v>
                </c:pt>
                <c:pt idx="15">
                  <c:v>698</c:v>
                </c:pt>
                <c:pt idx="16">
                  <c:v>1047</c:v>
                </c:pt>
                <c:pt idx="17">
                  <c:v>949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84</c:v>
                </c:pt>
                <c:pt idx="17">
                  <c:v>123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11</c:v>
                </c:pt>
                <c:pt idx="1">
                  <c:v>39</c:v>
                </c:pt>
                <c:pt idx="2">
                  <c:v>67</c:v>
                </c:pt>
                <c:pt idx="3">
                  <c:v>122</c:v>
                </c:pt>
                <c:pt idx="4">
                  <c:v>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736</c:v>
                </c:pt>
                <c:pt idx="1">
                  <c:v>2090</c:v>
                </c:pt>
                <c:pt idx="2">
                  <c:v>1599</c:v>
                </c:pt>
                <c:pt idx="3">
                  <c:v>896</c:v>
                </c:pt>
                <c:pt idx="4">
                  <c:v>1104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817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9</cp:revision>
  <cp:lastPrinted>2025-01-21T18:02:00Z</cp:lastPrinted>
  <dcterms:created xsi:type="dcterms:W3CDTF">2025-02-11T18:55:00Z</dcterms:created>
  <dcterms:modified xsi:type="dcterms:W3CDTF">2025-02-11T19:18:00Z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