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068B5AD1" w:rsidR="00272295" w:rsidRDefault="004B030B" w:rsidP="00697B1E">
      <w:r>
        <w:t>February 4</w:t>
      </w:r>
      <w:r w:rsidR="00337F3B">
        <w:t>, 202</w:t>
      </w:r>
      <w:r w:rsidR="00B75D30">
        <w:t>5</w:t>
      </w:r>
    </w:p>
    <w:p w14:paraId="4E65E6AD" w14:textId="70040DD7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4B030B">
        <w:t>5</w:t>
      </w:r>
      <w:r w:rsidR="00816D7A" w:rsidRPr="00FD1CC0">
        <w:t xml:space="preserve"> (ending </w:t>
      </w:r>
      <w:r w:rsidR="004B030B">
        <w:t>2</w:t>
      </w:r>
      <w:r w:rsidR="00D37AB5">
        <w:t>/</w:t>
      </w:r>
      <w:r w:rsidR="004B030B">
        <w:t>1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5EB2">
        <w:rPr>
          <w:b/>
          <w:bCs/>
        </w:rPr>
        <w:t>U</w:t>
      </w:r>
      <w:r w:rsidR="00531811" w:rsidRPr="00555EB2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5F4D9AB2" w:rsidR="00673D41" w:rsidRPr="00615AE8" w:rsidRDefault="004B030B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5.83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A814439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B030B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52D9E9D3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7916C708" w:rsidR="005C2BB6" w:rsidRPr="00364EE2" w:rsidRDefault="004B030B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22F2E266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4B030B">
              <w:rPr>
                <w:b/>
                <w:bCs/>
              </w:rPr>
              <w:t>98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318BCA61" w:rsidR="00F226A4" w:rsidRPr="005B36F3" w:rsidRDefault="00AE261E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B030B">
              <w:rPr>
                <w:b/>
                <w:bCs/>
              </w:rPr>
              <w:t>6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7A853EDC" w:rsidR="00F226A4" w:rsidRPr="00FE11DD" w:rsidRDefault="004B030B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5D8D9532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EB0C980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85ACA8E" w:rsidR="00531811" w:rsidRPr="00615AE8" w:rsidRDefault="004B030B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9.27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70F9906" w:rsidR="00531811" w:rsidRPr="006454D1" w:rsidRDefault="004B030B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6010EEDE" w:rsidR="00615AE8" w:rsidRPr="006454D1" w:rsidRDefault="00AE261E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B030B">
              <w:rPr>
                <w:b/>
                <w:bCs/>
              </w:rPr>
              <w:t>9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F0719D3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23E521E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4B030B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2C2BE8D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515" w:type="dxa"/>
          </w:tcPr>
          <w:p w14:paraId="583B98F5" w14:textId="7C3D3325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,061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0C033C6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85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1684E5FE" w:rsidR="00771A38" w:rsidRPr="003D117B" w:rsidRDefault="004B030B" w:rsidP="00EC39E9">
            <w:pPr>
              <w:jc w:val="center"/>
              <w:rPr>
                <w:bCs/>
              </w:rPr>
            </w:pPr>
            <w:r>
              <w:rPr>
                <w:bCs/>
              </w:rPr>
              <w:t>974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92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4BBF01C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29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219B02A4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456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47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1C43F9E5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38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54653C34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4B030B">
              <w:rPr>
                <w:bCs/>
              </w:rPr>
              <w:t>55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47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3947EC41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19 (28%) </w:t>
            </w:r>
          </w:p>
        </w:tc>
        <w:tc>
          <w:tcPr>
            <w:tcW w:w="2515" w:type="dxa"/>
          </w:tcPr>
          <w:p w14:paraId="21012191" w14:textId="7B1D6447" w:rsidR="00771A38" w:rsidRPr="003D117B" w:rsidRDefault="004B030B" w:rsidP="009F53C2">
            <w:pPr>
              <w:jc w:val="center"/>
              <w:rPr>
                <w:bCs/>
              </w:rPr>
            </w:pPr>
            <w:r>
              <w:rPr>
                <w:bCs/>
              </w:rPr>
              <w:t>63 (6%)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74ECC9BD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2F91D7B5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3859BD" w:rsidRDefault="00771A38" w:rsidP="002E3C1F">
            <w:pPr>
              <w:jc w:val="center"/>
              <w:rPr>
                <w:b/>
              </w:rPr>
            </w:pPr>
            <w:r w:rsidRPr="00A67F00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461E486B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4B030B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6E2D004D" w:rsidR="000D6C22" w:rsidRPr="00EC39E9" w:rsidRDefault="004B030B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41F7983F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1414">
              <w:rPr>
                <w:bCs/>
              </w:rPr>
              <w:t>8,521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4D95E2B8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53941742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1,162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2C9FB422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0FF1B064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F5E5E">
              <w:rPr>
                <w:bCs/>
              </w:rPr>
              <w:t>,</w:t>
            </w:r>
            <w:r>
              <w:rPr>
                <w:bCs/>
              </w:rPr>
              <w:t>112</w:t>
            </w:r>
            <w:r w:rsidR="00BA2243">
              <w:rPr>
                <w:bCs/>
              </w:rPr>
              <w:t xml:space="preserve"> (9</w:t>
            </w:r>
            <w:r w:rsidR="00A67F00">
              <w:rPr>
                <w:bCs/>
              </w:rPr>
              <w:t>6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52F67F36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23B80F08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BA2243">
              <w:rPr>
                <w:bCs/>
              </w:rPr>
              <w:t xml:space="preserve"> (</w:t>
            </w:r>
            <w:r w:rsidR="00A67F00"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19549640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13D2179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4B030B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2923C92" w:rsidR="0025564A" w:rsidRPr="009B75A7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330</w:t>
            </w:r>
          </w:p>
        </w:tc>
        <w:tc>
          <w:tcPr>
            <w:tcW w:w="2515" w:type="dxa"/>
          </w:tcPr>
          <w:p w14:paraId="615F4E2C" w14:textId="4B959382" w:rsidR="0025564A" w:rsidRPr="004A56EB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1,056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3E7CDBCE" w:rsidR="0025564A" w:rsidRPr="009B75A7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742</w:t>
            </w:r>
          </w:p>
        </w:tc>
        <w:tc>
          <w:tcPr>
            <w:tcW w:w="2515" w:type="dxa"/>
          </w:tcPr>
          <w:p w14:paraId="3EC6D09F" w14:textId="79F9420D" w:rsidR="0025564A" w:rsidRPr="004A56EB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3,567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4B7958D" w:rsidR="0025564A" w:rsidRPr="009B75A7" w:rsidRDefault="004B030B" w:rsidP="00FA5E32">
            <w:pPr>
              <w:jc w:val="center"/>
              <w:rPr>
                <w:bCs/>
              </w:rPr>
            </w:pPr>
            <w:r>
              <w:rPr>
                <w:bCs/>
              </w:rPr>
              <w:t>949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89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07EAE665" w:rsidR="0025564A" w:rsidRPr="004A56EB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4,267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2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07E96B4B" w:rsidR="0025564A" w:rsidRPr="009B75A7" w:rsidRDefault="004B030B" w:rsidP="00FB640F">
            <w:pPr>
              <w:jc w:val="center"/>
              <w:rPr>
                <w:bCs/>
              </w:rPr>
            </w:pPr>
            <w:r>
              <w:rPr>
                <w:bCs/>
              </w:rPr>
              <w:t>123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3D1900D" w:rsidR="0025564A" w:rsidRPr="004A56EB" w:rsidRDefault="004B030B" w:rsidP="009F53C2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187C53CC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310E3D5F" w:rsidR="00697B1E" w:rsidRPr="00050158" w:rsidRDefault="0050580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4</w:t>
      </w:r>
      <w:r w:rsidR="004B030B">
        <w:rPr>
          <w:sz w:val="23"/>
          <w:szCs w:val="23"/>
        </w:rPr>
        <w:t>1</w:t>
      </w:r>
      <w:r w:rsidR="002C6AF9">
        <w:rPr>
          <w:sz w:val="23"/>
          <w:szCs w:val="23"/>
        </w:rPr>
        <w:t>.</w:t>
      </w:r>
      <w:r w:rsidR="004B030B">
        <w:rPr>
          <w:sz w:val="23"/>
          <w:szCs w:val="23"/>
        </w:rPr>
        <w:t>7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C998747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4B030B">
        <w:rPr>
          <w:b/>
          <w:noProof/>
        </w:rPr>
        <w:t>5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6829F2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1A45BD98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29B1FECA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03D5305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1A5B0DA1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High</w:t>
            </w:r>
          </w:p>
        </w:tc>
      </w:tr>
      <w:tr w:rsidR="006829F2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5B461746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0701F47F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06370A59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0CD247B5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7EF1567F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818290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8960CA2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29FF73A2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37C2168B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79C006CA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2742AF5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576C5386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72860881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38CB3B97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0C8F081C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67FDF01A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1999269D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60785828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2E043EB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1F4BFBD9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5C5D7952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7E196B6E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51C18D14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206B57C5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High</w:t>
            </w:r>
          </w:p>
        </w:tc>
      </w:tr>
      <w:tr w:rsidR="006829F2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F5C7132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6CC3F301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2952D6F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5E0C513F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BBAF608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3DFF5A52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1B6344CE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240BBA53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485042C8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05600A92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76EE460B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6D021080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1872EE83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30ED7B0C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1F358CA4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448645E7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63479B5A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AFCA8FE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7FFA65B1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706C8347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3129F73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17F11F89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07AFD707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131623B3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Low</w:t>
            </w:r>
          </w:p>
        </w:tc>
      </w:tr>
      <w:tr w:rsidR="006829F2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5602084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55F9AA3D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3DC73B72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470B75DF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574B07E2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17CD831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0247827B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62E6DD2F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6829F2" w:rsidRPr="00EC39E9" w:rsidRDefault="006829F2" w:rsidP="006829F2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1352731C" w:rsidR="006829F2" w:rsidRPr="00B33FEE" w:rsidRDefault="006829F2" w:rsidP="006829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53FEB38B" w:rsidR="006829F2" w:rsidRPr="00AE23ED" w:rsidRDefault="006829F2" w:rsidP="006829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273CE631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616ED303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6829F2">
              <w:rPr>
                <w:sz w:val="22"/>
                <w:szCs w:val="22"/>
              </w:rPr>
              <w:t>Moderate</w:t>
            </w:r>
          </w:p>
        </w:tc>
      </w:tr>
      <w:tr w:rsidR="006829F2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6829F2" w:rsidRPr="00EC39E9" w:rsidRDefault="006829F2" w:rsidP="006829F2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4D7C44DA" w:rsidR="006829F2" w:rsidRPr="004B030B" w:rsidRDefault="006829F2" w:rsidP="006829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0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3733194" w:rsidR="006829F2" w:rsidRPr="00AE23ED" w:rsidRDefault="006829F2" w:rsidP="00682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6829F2" w:rsidRPr="005C4665" w:rsidRDefault="006829F2" w:rsidP="006829F2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0852346B" w:rsidR="00BD2082" w:rsidRDefault="00860DED" w:rsidP="00076584">
      <w:pPr>
        <w:ind w:left="540"/>
        <w:rPr>
          <w:b/>
          <w:noProof/>
          <w:sz w:val="20"/>
          <w:szCs w:val="20"/>
        </w:rPr>
      </w:pPr>
      <w:r w:rsidRPr="00860DE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66FC7A1C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027" w:rsidRPr="00860DED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2072964B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860DED">
        <w:rPr>
          <w:b/>
          <w:noProof/>
          <w:sz w:val="20"/>
          <w:szCs w:val="20"/>
        </w:rPr>
        <w:t xml:space="preserve">Influenza </w:t>
      </w:r>
      <w:r w:rsidR="00087213" w:rsidRPr="00860DED">
        <w:rPr>
          <w:b/>
          <w:noProof/>
          <w:sz w:val="20"/>
          <w:szCs w:val="20"/>
        </w:rPr>
        <w:t>Activity</w:t>
      </w:r>
      <w:r w:rsidR="00266949" w:rsidRPr="00A11027">
        <w:rPr>
          <w:b/>
          <w:noProof/>
          <w:sz w:val="20"/>
          <w:szCs w:val="20"/>
        </w:rPr>
        <w:t xml:space="preserve"> </w:t>
      </w:r>
      <w:r w:rsidR="00087213" w:rsidRPr="00A11027">
        <w:rPr>
          <w:b/>
          <w:noProof/>
          <w:sz w:val="20"/>
          <w:szCs w:val="20"/>
        </w:rPr>
        <w:t>Trends</w:t>
      </w:r>
      <w:r w:rsidR="00770445" w:rsidRPr="00A11027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4B030B">
        <w:rPr>
          <w:b/>
          <w:noProof/>
          <w:sz w:val="20"/>
          <w:szCs w:val="20"/>
        </w:rPr>
        <w:t>5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860DED">
        <w:rPr>
          <w:b/>
          <w:noProof/>
          <w:sz w:val="20"/>
          <w:szCs w:val="20"/>
        </w:rPr>
        <w:t>Influenza Severity Estimates</w:t>
      </w:r>
      <w:r w:rsidR="00670637" w:rsidRPr="00A11027">
        <w:rPr>
          <w:b/>
          <w:noProof/>
          <w:sz w:val="20"/>
          <w:szCs w:val="20"/>
        </w:rPr>
        <w:t>,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4B030B">
        <w:rPr>
          <w:b/>
          <w:noProof/>
          <w:sz w:val="20"/>
          <w:szCs w:val="20"/>
        </w:rPr>
        <w:t>5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B8C1CF8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829F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860BE25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203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3412D191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117247">
              <w:rPr>
                <w:bCs/>
                <w:sz w:val="22"/>
                <w:szCs w:val="22"/>
              </w:rPr>
              <w:t>9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7A4634E0" w:rsidR="00B62A80" w:rsidRPr="009F53C2" w:rsidRDefault="006829F2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14:paraId="75F459AB" w14:textId="302AE22C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829F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66F9C95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6FBCAFF5" w:rsidR="00906328" w:rsidRPr="000870E7" w:rsidRDefault="006829F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4DAB9B1" w:rsidR="00906328" w:rsidRPr="00FE11DD" w:rsidRDefault="00A203A4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829F2">
              <w:rPr>
                <w:b/>
                <w:bCs/>
              </w:rPr>
              <w:t>9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1D7916F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6829F2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6A4E14E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D0CDB5B" w14:textId="7114CD5A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714836D4" w14:textId="7757C795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2CA29B37" w:rsidR="006829F2" w:rsidRPr="009A1837" w:rsidRDefault="006829F2" w:rsidP="006829F2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4F68E2D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7A61BC6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35F909C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25FE9CC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829F2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1B89528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3DBCD9E" w14:textId="5EC7D02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5D89C9C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5A80698" w14:textId="635190EB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45226FF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72CBE6D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4DF060C7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16FAEE6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829F2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2E012B1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noWrap/>
            <w:vAlign w:val="bottom"/>
          </w:tcPr>
          <w:p w14:paraId="2E466281" w14:textId="63E4AB9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D3DAD6D" w14:textId="68C3221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6453569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204CD78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908BD50" w14:textId="7EB6D82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4D8433A5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117A80C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829F2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7F26BCB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090B4B3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12D6F87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5C51499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37AEF2D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131D752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4904090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619AF93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29F2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5389035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9337B5A" w14:textId="6DA4B09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70FF7BF" w14:textId="13B01BA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AA0423D" w14:textId="4B05862B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46BA30A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0F2594B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621CEB7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2917E16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829F2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3F7919B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2E26918" w14:textId="3529B7C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39A6A54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4DDC8C5" w14:textId="7C05D75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5A16E56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53A65125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123B04E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0376C86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829F2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6B9135E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15646FC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F5F55" w14:textId="28B6A65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4291440" w14:textId="169B131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3AAE0577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4B2E7C7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4C5A981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41976C0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829F2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06D0C44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011A9E7" w14:textId="18F579F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21639AF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2B89576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0E0249FA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14A84F0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4B93BD8A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5F48773A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29F2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40F9A26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B76DCD2" w14:textId="3531E43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2A9AF0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32D48A0" w14:textId="572E18C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56BAEE2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40633B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277F86D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36E9242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829F2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5CCBD7C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68430070" w14:textId="3798A29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D74AD04" w14:textId="18BF085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01E549C" w14:textId="52C50A1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412901D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5DD3543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0C008D1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1883F0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829F2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2303105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05A3D88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6D3E952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C423F7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2DE8D0F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6D21C9C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5282834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356DEC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29F2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52324B5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1E10D0F" w14:textId="0819D2C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B2AB3D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E90C9D5" w14:textId="6F9679F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671EF9C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6A2CF37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365D5DC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6E5F827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829F2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2A408AA7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5F076E87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0C165C2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E781E3" w14:textId="7D8453D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0BBDA5C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065B71E3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3BFBE72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2C3F382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29F2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0F384B0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DBF4D37" w14:textId="69928B65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666A562E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EF586D2" w14:textId="7518B7E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4C283D6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0783D66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693BB930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2B663F5A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829F2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6B1087A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1EE84BE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283F91B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3FE24079" w14:textId="4460739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5DDEC71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739286C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59AB6B1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4B5BDF0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829F2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6829F2" w:rsidRPr="009A1837" w:rsidRDefault="006829F2" w:rsidP="006829F2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4F95389D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FF2C6DC" w14:textId="4CDB52E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7FC3C1B5" w14:textId="745494B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59AB13A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5F54B99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2607EAF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0C03B1EF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65C99551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829F2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6829F2" w:rsidRPr="009A1837" w:rsidRDefault="006829F2" w:rsidP="006829F2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4F6C63C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5" w:type="dxa"/>
            <w:noWrap/>
            <w:vAlign w:val="bottom"/>
          </w:tcPr>
          <w:p w14:paraId="69828353" w14:textId="0DCBB3F7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4EF4F4D9" w14:textId="211FF78B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5" w:type="dxa"/>
            <w:noWrap/>
            <w:vAlign w:val="bottom"/>
          </w:tcPr>
          <w:p w14:paraId="2661FFAD" w14:textId="5598F3B9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6C246FA4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noWrap/>
            <w:vAlign w:val="bottom"/>
          </w:tcPr>
          <w:p w14:paraId="7415164B" w14:textId="2945CE72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5A36AD6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4A0FAB08" w:rsidR="006829F2" w:rsidRPr="009A1837" w:rsidRDefault="006829F2" w:rsidP="00682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51392174" w14:textId="6FE8C310" w:rsidR="004B030B" w:rsidRPr="004B030B" w:rsidRDefault="004B030B" w:rsidP="004B030B">
      <w:pPr>
        <w:spacing w:before="100" w:beforeAutospacing="1" w:after="100" w:afterAutospacing="1"/>
      </w:pPr>
      <w:r w:rsidRPr="004B030B">
        <w:drawing>
          <wp:inline distT="0" distB="0" distL="0" distR="0" wp14:anchorId="1F566A4F" wp14:editId="1C88F1E5">
            <wp:extent cx="6858000" cy="6226810"/>
            <wp:effectExtent l="0" t="0" r="0" b="2540"/>
            <wp:docPr id="1887592415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92415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4B3C" w14:textId="0A5523EE" w:rsidR="00295B17" w:rsidRPr="00295B17" w:rsidRDefault="00295B17" w:rsidP="00295B17">
      <w:pPr>
        <w:spacing w:before="100" w:beforeAutospacing="1" w:after="100" w:afterAutospacing="1"/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5</c:v>
                </c:pt>
                <c:pt idx="14">
                  <c:v>4.66</c:v>
                </c:pt>
                <c:pt idx="15">
                  <c:v>5.98</c:v>
                </c:pt>
                <c:pt idx="16">
                  <c:v>7.48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6</c:v>
                </c:pt>
                <c:pt idx="16">
                  <c:v>5</c:v>
                </c:pt>
                <c:pt idx="1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4.83</c:v>
                </c:pt>
                <c:pt idx="16">
                  <c:v>6.22</c:v>
                </c:pt>
                <c:pt idx="17">
                  <c:v>6.45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69</c:v>
                </c:pt>
                <c:pt idx="16">
                  <c:v>71</c:v>
                </c:pt>
                <c:pt idx="17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5.6856187290969897</c:v>
                </c:pt>
                <c:pt idx="11">
                  <c:v>6.4102564102564097</c:v>
                </c:pt>
                <c:pt idx="12">
                  <c:v>5.7057057057057055</c:v>
                </c:pt>
                <c:pt idx="13">
                  <c:v>6.2305295950155761</c:v>
                </c:pt>
                <c:pt idx="14">
                  <c:v>9.3373493975903603</c:v>
                </c:pt>
                <c:pt idx="15">
                  <c:v>8.8235294117647065</c:v>
                </c:pt>
                <c:pt idx="16">
                  <c:v>9.6273291925465845</c:v>
                </c:pt>
                <c:pt idx="17">
                  <c:v>9.2715231788079464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8.0888516345347874</c:v>
                </c:pt>
                <c:pt idx="16">
                  <c:v>7.6183431952662719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61</c:v>
                </c:pt>
                <c:pt idx="17">
                  <c:v>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90</c:v>
                </c:pt>
                <c:pt idx="15">
                  <c:v>72</c:v>
                </c:pt>
                <c:pt idx="16">
                  <c:v>65</c:v>
                </c:pt>
                <c:pt idx="17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14</c:v>
                </c:pt>
                <c:pt idx="17">
                  <c:v>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456</c:v>
                </c:pt>
                <c:pt idx="1">
                  <c:v>455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63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3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534</c:v>
                </c:pt>
                <c:pt idx="15">
                  <c:v>698</c:v>
                </c:pt>
                <c:pt idx="16">
                  <c:v>1047</c:v>
                </c:pt>
                <c:pt idx="17">
                  <c:v>949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84</c:v>
                </c:pt>
                <c:pt idx="17">
                  <c:v>123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8</c:v>
                </c:pt>
                <c:pt idx="1">
                  <c:v>22</c:v>
                </c:pt>
                <c:pt idx="2">
                  <c:v>40</c:v>
                </c:pt>
                <c:pt idx="3">
                  <c:v>87</c:v>
                </c:pt>
                <c:pt idx="4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488</c:v>
                </c:pt>
                <c:pt idx="1">
                  <c:v>1307</c:v>
                </c:pt>
                <c:pt idx="2">
                  <c:v>1084</c:v>
                </c:pt>
                <c:pt idx="3">
                  <c:v>631</c:v>
                </c:pt>
                <c:pt idx="4">
                  <c:v>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814</Words>
  <Characters>6193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6</cp:revision>
  <cp:lastPrinted>2025-01-21T18:02:00Z</cp:lastPrinted>
  <dcterms:created xsi:type="dcterms:W3CDTF">2025-02-04T19:15:00Z</dcterms:created>
  <dcterms:modified xsi:type="dcterms:W3CDTF">2025-02-04T19:37:00Z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