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CBB939B" w:rsidR="00272295" w:rsidRDefault="00B75D30" w:rsidP="00697B1E">
      <w:r>
        <w:t xml:space="preserve">January </w:t>
      </w:r>
      <w:r w:rsidR="00AE261E">
        <w:t>28</w:t>
      </w:r>
      <w:r w:rsidR="00337F3B">
        <w:t>, 202</w:t>
      </w:r>
      <w:r>
        <w:t>5</w:t>
      </w:r>
    </w:p>
    <w:p w14:paraId="4E65E6AD" w14:textId="6DA6304F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AE261E">
        <w:t>4</w:t>
      </w:r>
      <w:r w:rsidR="00816D7A" w:rsidRPr="00FD1CC0">
        <w:t xml:space="preserve"> (ending </w:t>
      </w:r>
      <w:r w:rsidR="00E1357C">
        <w:t>1</w:t>
      </w:r>
      <w:r w:rsidR="00D37AB5">
        <w:t>/</w:t>
      </w:r>
      <w:r w:rsidR="00AE261E">
        <w:t>25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555EB2">
        <w:rPr>
          <w:b/>
          <w:bCs/>
        </w:rPr>
        <w:t>U</w:t>
      </w:r>
      <w:r w:rsidR="00531811" w:rsidRPr="00555EB2">
        <w:rPr>
          <w:b/>
          <w:bCs/>
        </w:rPr>
        <w:t>.S. Outpatient Influenza-like</w:t>
      </w:r>
      <w:r w:rsidR="00531811">
        <w:rPr>
          <w:b/>
          <w:bCs/>
        </w:rPr>
        <w:t xml:space="preserve">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493BCEBD" w:rsidR="00673D41" w:rsidRPr="00615AE8" w:rsidRDefault="00555EB2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4.9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70E3C06F" w:rsidR="00673D41" w:rsidRPr="00F54653" w:rsidRDefault="00C3456E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5EB2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09E027C3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5E06AE60" w:rsidR="005C2BB6" w:rsidRPr="00364EE2" w:rsidRDefault="00AE261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5.59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6A12F7B3" w:rsidR="005C2BB6" w:rsidRPr="00FE11DD" w:rsidRDefault="00BA224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AE261E">
              <w:rPr>
                <w:b/>
                <w:bCs/>
              </w:rPr>
              <w:t>63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3DE70C1F" w:rsidR="00F226A4" w:rsidRPr="005B36F3" w:rsidRDefault="00AE261E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290725BA" w:rsidR="00F226A4" w:rsidRPr="00FE11DD" w:rsidRDefault="00E27351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E261E">
              <w:rPr>
                <w:b/>
                <w:bCs/>
              </w:rPr>
              <w:t>96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3C57D87E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6F7834A5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77D21E88" w:rsidR="00531811" w:rsidRPr="00615AE8" w:rsidRDefault="00AE261E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8.59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F1DB0C2" w:rsidR="00531811" w:rsidRPr="006454D1" w:rsidRDefault="00AE261E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20E98F3A" w:rsidR="00615AE8" w:rsidRPr="006454D1" w:rsidRDefault="00AE261E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1A84A441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174015B0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AE261E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D827C8F" w:rsidR="00771A38" w:rsidRPr="009B75A7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294</w:t>
            </w:r>
          </w:p>
        </w:tc>
        <w:tc>
          <w:tcPr>
            <w:tcW w:w="2515" w:type="dxa"/>
          </w:tcPr>
          <w:p w14:paraId="583B98F5" w14:textId="17862DCB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1120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A15B49A" w:rsidR="00771A38" w:rsidRPr="009B75A7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29.5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221FE9FF" w:rsidR="00771A38" w:rsidRPr="003D117B" w:rsidRDefault="00AE261E" w:rsidP="00EC39E9">
            <w:pPr>
              <w:jc w:val="center"/>
              <w:rPr>
                <w:bCs/>
              </w:rPr>
            </w:pPr>
            <w:r>
              <w:rPr>
                <w:bCs/>
              </w:rPr>
              <w:t>832</w:t>
            </w:r>
            <w:r w:rsidR="001F0369">
              <w:rPr>
                <w:bCs/>
              </w:rPr>
              <w:t xml:space="preserve"> (</w:t>
            </w:r>
            <w:r w:rsidR="00E27351">
              <w:rPr>
                <w:bCs/>
              </w:rPr>
              <w:t>7</w:t>
            </w:r>
            <w:r>
              <w:rPr>
                <w:bCs/>
              </w:rPr>
              <w:t>4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43A06DB3" w:rsidR="00771A38" w:rsidRPr="009B75A7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47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0DE4A0F4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418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D0733AA" w:rsidR="00771A38" w:rsidRPr="009B75A7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53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668AE59D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414</w:t>
            </w:r>
            <w:r w:rsidR="001F0369">
              <w:rPr>
                <w:bCs/>
              </w:rPr>
              <w:t xml:space="preserve"> (</w:t>
            </w:r>
            <w:r w:rsidR="009F4FE1">
              <w:rPr>
                <w:bCs/>
              </w:rPr>
              <w:t>5</w:t>
            </w:r>
            <w:r>
              <w:rPr>
                <w:bCs/>
              </w:rPr>
              <w:t>0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376E82EB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366AB854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3859BD" w:rsidRDefault="00771A38" w:rsidP="002E3C1F">
            <w:pPr>
              <w:jc w:val="center"/>
              <w:rPr>
                <w:b/>
              </w:rPr>
            </w:pPr>
            <w:r w:rsidRPr="00A67F00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01E38D52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AE261E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3D2149E4" w:rsidR="000D6C22" w:rsidRPr="00EC39E9" w:rsidRDefault="00A67F00" w:rsidP="000D6C22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  <w:r w:rsidR="00651414">
              <w:rPr>
                <w:bCs/>
              </w:rPr>
              <w:t>29</w:t>
            </w:r>
          </w:p>
        </w:tc>
        <w:tc>
          <w:tcPr>
            <w:tcW w:w="2515" w:type="dxa"/>
          </w:tcPr>
          <w:p w14:paraId="783B27B2" w14:textId="41F7983F" w:rsidR="000D6C22" w:rsidRPr="000C44D2" w:rsidRDefault="00BA2243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1414">
              <w:rPr>
                <w:bCs/>
              </w:rPr>
              <w:t>8,521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AA6DF43" w:rsidR="000D6C22" w:rsidRPr="00EC39E9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308</w:t>
            </w:r>
            <w:r w:rsidR="00A67F00">
              <w:rPr>
                <w:bCs/>
              </w:rPr>
              <w:t xml:space="preserve"> (</w:t>
            </w:r>
            <w:r>
              <w:rPr>
                <w:bCs/>
              </w:rPr>
              <w:t>20.1</w:t>
            </w:r>
            <w:r w:rsidR="00A67F00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6816C378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1,162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6.3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3F274D94" w:rsidR="000D6C22" w:rsidRPr="00EC39E9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296</w:t>
            </w:r>
            <w:r w:rsidR="00A67F00">
              <w:rPr>
                <w:bCs/>
              </w:rPr>
              <w:t xml:space="preserve"> (9</w:t>
            </w:r>
            <w:r>
              <w:rPr>
                <w:bCs/>
              </w:rPr>
              <w:t>6</w:t>
            </w:r>
            <w:r w:rsidR="00A67F00">
              <w:rPr>
                <w:bCs/>
              </w:rPr>
              <w:t>%)</w:t>
            </w:r>
          </w:p>
        </w:tc>
        <w:tc>
          <w:tcPr>
            <w:tcW w:w="2515" w:type="dxa"/>
          </w:tcPr>
          <w:p w14:paraId="7F814D02" w14:textId="6E4A91F0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1112</w:t>
            </w:r>
            <w:r w:rsidR="00BA2243">
              <w:rPr>
                <w:bCs/>
              </w:rPr>
              <w:t xml:space="preserve"> (9</w:t>
            </w:r>
            <w:r w:rsidR="00A67F00">
              <w:rPr>
                <w:bCs/>
              </w:rPr>
              <w:t>6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383724F4" w:rsidR="000D6C22" w:rsidRPr="00EC39E9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A67F00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="00A67F00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23B80F08" w:rsidR="000D6C22" w:rsidRPr="000C44D2" w:rsidRDefault="00651414" w:rsidP="000D6C2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BA2243">
              <w:rPr>
                <w:bCs/>
              </w:rPr>
              <w:t xml:space="preserve"> (</w:t>
            </w:r>
            <w:r w:rsidR="00A67F00">
              <w:rPr>
                <w:bCs/>
              </w:rPr>
              <w:t>4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19549640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5647E2B4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AE261E">
              <w:rPr>
                <w:b/>
              </w:rPr>
              <w:t>4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7B146F43" w:rsidR="0025564A" w:rsidRPr="009B75A7" w:rsidRDefault="005504FB" w:rsidP="000C44D2">
            <w:pPr>
              <w:jc w:val="center"/>
              <w:rPr>
                <w:bCs/>
              </w:rPr>
            </w:pPr>
            <w:r>
              <w:rPr>
                <w:bCs/>
              </w:rPr>
              <w:t>264</w:t>
            </w:r>
          </w:p>
        </w:tc>
        <w:tc>
          <w:tcPr>
            <w:tcW w:w="2515" w:type="dxa"/>
          </w:tcPr>
          <w:p w14:paraId="615F4E2C" w14:textId="26B24C62" w:rsidR="0025564A" w:rsidRPr="004A56EB" w:rsidRDefault="005504FB" w:rsidP="000C44D2">
            <w:pPr>
              <w:jc w:val="center"/>
              <w:rPr>
                <w:bCs/>
              </w:rPr>
            </w:pPr>
            <w:r>
              <w:rPr>
                <w:bCs/>
              </w:rPr>
              <w:t>725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73EA65B5" w:rsidR="0025564A" w:rsidRPr="009B75A7" w:rsidRDefault="005504FB" w:rsidP="000C44D2">
            <w:pPr>
              <w:jc w:val="center"/>
              <w:rPr>
                <w:bCs/>
              </w:rPr>
            </w:pPr>
            <w:r>
              <w:rPr>
                <w:bCs/>
              </w:rPr>
              <w:t>860</w:t>
            </w:r>
          </w:p>
        </w:tc>
        <w:tc>
          <w:tcPr>
            <w:tcW w:w="2515" w:type="dxa"/>
          </w:tcPr>
          <w:p w14:paraId="3EC6D09F" w14:textId="3ADAEEAB" w:rsidR="0025564A" w:rsidRPr="004A56EB" w:rsidRDefault="005504FB" w:rsidP="000C44D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B7791">
              <w:rPr>
                <w:bCs/>
              </w:rPr>
              <w:t>,</w:t>
            </w:r>
            <w:r>
              <w:rPr>
                <w:bCs/>
              </w:rPr>
              <w:t>808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3D5B8064" w:rsidR="0025564A" w:rsidRPr="009B75A7" w:rsidRDefault="005504FB" w:rsidP="00FA5E32">
            <w:pPr>
              <w:jc w:val="center"/>
              <w:rPr>
                <w:bCs/>
              </w:rPr>
            </w:pPr>
            <w:r>
              <w:rPr>
                <w:bCs/>
              </w:rPr>
              <w:t>1,040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3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AE1AB2E" w:rsidR="0025564A" w:rsidRPr="004A56EB" w:rsidRDefault="005504FB" w:rsidP="000C44D2">
            <w:pPr>
              <w:jc w:val="center"/>
              <w:rPr>
                <w:bCs/>
              </w:rPr>
            </w:pPr>
            <w:r>
              <w:rPr>
                <w:bCs/>
              </w:rPr>
              <w:t>3,302</w:t>
            </w:r>
            <w:r w:rsidR="00AA1086">
              <w:rPr>
                <w:bCs/>
              </w:rPr>
              <w:t xml:space="preserve"> (9</w:t>
            </w:r>
            <w:r>
              <w:rPr>
                <w:bCs/>
              </w:rPr>
              <w:t>3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16254BF" w:rsidR="0025564A" w:rsidRPr="009B75A7" w:rsidRDefault="005504FB" w:rsidP="00FB640F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7F17CC1E" w:rsidR="0025564A" w:rsidRPr="004A56EB" w:rsidRDefault="005504FB" w:rsidP="009F53C2">
            <w:pPr>
              <w:jc w:val="center"/>
              <w:rPr>
                <w:bCs/>
              </w:rPr>
            </w:pPr>
            <w:r>
              <w:rPr>
                <w:bCs/>
              </w:rPr>
              <w:t>231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1EDD1689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73001845" w:rsidR="00697B1E" w:rsidRPr="00050158" w:rsidRDefault="0050580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42</w:t>
      </w:r>
      <w:r w:rsidR="002C6AF9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3293F93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AE261E">
        <w:rPr>
          <w:b/>
          <w:noProof/>
        </w:rPr>
        <w:t>4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824040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272A9EC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218156C0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7183210E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2034715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4766EC98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1A6B4C9A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74C184B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09CE3B0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60E5FEA0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70FDEC86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035B9714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65FE5AA2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4159259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1F191EA1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2E124AAE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198534A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Moderate</w:t>
            </w:r>
          </w:p>
        </w:tc>
      </w:tr>
      <w:tr w:rsidR="00824040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367BFB24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4AFEB9A5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2128855D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1ECEBA42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Moderate</w:t>
            </w:r>
          </w:p>
        </w:tc>
      </w:tr>
      <w:tr w:rsidR="00824040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3821FF45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608F1DF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195B98F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6EE244E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52372B5D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796C0A66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515F62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172FDD31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4CF33AB5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34104FD4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A1C38C7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5AD5A169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2B440E10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74D5BD4A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7C32E2AD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5B569EB3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Moderate</w:t>
            </w:r>
          </w:p>
        </w:tc>
      </w:tr>
      <w:tr w:rsidR="00824040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ACC04FA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10A92859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71599909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6AFDBB5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5D362D9D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202FE54C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5D88C1BD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1A85A401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Very High</w:t>
            </w:r>
          </w:p>
        </w:tc>
      </w:tr>
      <w:tr w:rsidR="00824040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1ECC5F08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3E05A6B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7DFA8854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33489DA9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Moderate</w:t>
            </w:r>
          </w:p>
        </w:tc>
      </w:tr>
      <w:tr w:rsidR="00824040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756F0907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09FD15AD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8058852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267742FF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62768DD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D0F963C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136748A5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0A4F8B33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Low</w:t>
            </w:r>
          </w:p>
        </w:tc>
      </w:tr>
      <w:tr w:rsidR="00824040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356F5937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59B4A585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3A8D56C2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7EB665F8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Moderate</w:t>
            </w:r>
          </w:p>
        </w:tc>
      </w:tr>
      <w:tr w:rsidR="00824040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824040" w:rsidRPr="00EC39E9" w:rsidRDefault="00824040" w:rsidP="0082404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237B64CD" w:rsidR="00824040" w:rsidRPr="00B33FEE" w:rsidRDefault="00824040" w:rsidP="008240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CBF14C7" w:rsidR="00824040" w:rsidRPr="00AE23ED" w:rsidRDefault="00824040" w:rsidP="0082404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2DE93610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701FDB3F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824040">
              <w:rPr>
                <w:sz w:val="22"/>
                <w:szCs w:val="22"/>
              </w:rPr>
              <w:t>High</w:t>
            </w:r>
          </w:p>
        </w:tc>
      </w:tr>
      <w:tr w:rsidR="00824040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824040" w:rsidRPr="00EC39E9" w:rsidRDefault="00824040" w:rsidP="00824040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7CAE3D86" w:rsidR="00824040" w:rsidRPr="00824040" w:rsidRDefault="00824040" w:rsidP="0082404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40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0E1FA24" w:rsidR="00824040" w:rsidRPr="00AE23ED" w:rsidRDefault="00824040" w:rsidP="008240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824040" w:rsidRPr="005C4665" w:rsidRDefault="00824040" w:rsidP="0082404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0C044294" w:rsidR="00BD2082" w:rsidRDefault="00A11027" w:rsidP="00076584">
      <w:pPr>
        <w:ind w:left="540"/>
        <w:rPr>
          <w:b/>
          <w:noProof/>
          <w:sz w:val="20"/>
          <w:szCs w:val="20"/>
        </w:rPr>
      </w:pPr>
      <w:r w:rsidRPr="00BE0A09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7E535AE4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0B86" w:rsidRPr="00BE0A09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23653FF5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 w:rsidRPr="00BE0A09">
        <w:rPr>
          <w:b/>
          <w:noProof/>
          <w:sz w:val="20"/>
          <w:szCs w:val="20"/>
        </w:rPr>
        <w:t xml:space="preserve"> </w:t>
      </w:r>
      <w:r w:rsidR="00770445" w:rsidRPr="00A11027">
        <w:rPr>
          <w:b/>
          <w:noProof/>
          <w:sz w:val="20"/>
          <w:szCs w:val="20"/>
        </w:rPr>
        <w:t xml:space="preserve">Influenza </w:t>
      </w:r>
      <w:r w:rsidR="00087213" w:rsidRPr="00A11027">
        <w:rPr>
          <w:b/>
          <w:noProof/>
          <w:sz w:val="20"/>
          <w:szCs w:val="20"/>
        </w:rPr>
        <w:t>Activity</w:t>
      </w:r>
      <w:r w:rsidR="00266949" w:rsidRPr="00A11027">
        <w:rPr>
          <w:b/>
          <w:noProof/>
          <w:sz w:val="20"/>
          <w:szCs w:val="20"/>
        </w:rPr>
        <w:t xml:space="preserve"> </w:t>
      </w:r>
      <w:r w:rsidR="00087213" w:rsidRPr="00A11027">
        <w:rPr>
          <w:b/>
          <w:noProof/>
          <w:sz w:val="20"/>
          <w:szCs w:val="20"/>
        </w:rPr>
        <w:t>Trends</w:t>
      </w:r>
      <w:r w:rsidR="00770445" w:rsidRPr="00A11027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AE261E">
        <w:rPr>
          <w:b/>
          <w:noProof/>
          <w:sz w:val="20"/>
          <w:szCs w:val="20"/>
        </w:rPr>
        <w:t>4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A11027">
        <w:rPr>
          <w:b/>
          <w:noProof/>
          <w:sz w:val="20"/>
          <w:szCs w:val="20"/>
        </w:rPr>
        <w:t>Influenza Severity Estimates, Maine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AE261E">
        <w:rPr>
          <w:b/>
          <w:noProof/>
          <w:sz w:val="20"/>
          <w:szCs w:val="20"/>
        </w:rPr>
        <w:t>4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693E5BD9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4860BE25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A203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3412D191" w:rsidR="00B62A80" w:rsidRPr="009F53C2" w:rsidRDefault="008446B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117247">
              <w:rPr>
                <w:bCs/>
                <w:sz w:val="22"/>
                <w:szCs w:val="22"/>
              </w:rPr>
              <w:t>9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2F21CDC4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A203A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85" w:type="dxa"/>
          </w:tcPr>
          <w:p w14:paraId="75F459AB" w14:textId="278A387D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A203A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1CC775F5" w14:textId="00BC439D" w:rsidR="00B62A80" w:rsidRPr="009A1837" w:rsidRDefault="00266B9A" w:rsidP="00B62A80">
      <w:pPr>
        <w:rPr>
          <w:bCs/>
          <w:sz w:val="16"/>
          <w:szCs w:val="16"/>
        </w:rPr>
      </w:pPr>
      <w:r w:rsidRPr="009A1837">
        <w:rPr>
          <w:bCs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0921900A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5B6CC6B" w:rsidR="00906328" w:rsidRPr="000870E7" w:rsidRDefault="0011724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2919AF3D" w:rsidR="00906328" w:rsidRPr="00FE11DD" w:rsidRDefault="00A203A4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00DF8C37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A203A4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3F86DFD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D0CDB5B" w14:textId="13E88FE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714836D4" w14:textId="7F08D2B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71ED5521" w:rsidR="00A203A4" w:rsidRPr="009A1837" w:rsidRDefault="00A203A4" w:rsidP="00A203A4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2F58FF3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54F3106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5F7E9BA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54DECB6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203A4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5A45157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3DBCD9E" w14:textId="1F21909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6DD4ECF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5A80698" w14:textId="77ADB60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7429DE3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68911AE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56630997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6665209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203A4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50544D6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2E466281" w14:textId="4357442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D3DAD6D" w14:textId="1514BA8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2332224" w14:textId="24D3B2D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58313B5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908BD50" w14:textId="70B1266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36353F0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07B6587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A203A4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43897E9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4AE3878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39C6650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5077622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7D74D16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567A453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5C7B5B7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3BCAC4F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729D665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9337B5A" w14:textId="37993DE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70FF7BF" w14:textId="43D9178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AA0423D" w14:textId="0DBF662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6A99A13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7AFFBE2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05F86B5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35FF58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7FD8229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2E26918" w14:textId="2B0DB0B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6A1E6" w14:textId="5561FA91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74DDC8C5" w14:textId="7F557A0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358D419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3958122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43D8EDE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3FA9385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A203A4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197E92C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8AB6932" w14:textId="2A43AFB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52EF5F55" w14:textId="548317A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4291440" w14:textId="5901068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6FADDC4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3EEA244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11549B1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27B9664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A203A4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119D794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011A9E7" w14:textId="6558AC7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6C779CB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4B00F5E7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6CB04541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46B17B3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6F8B352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09F99CF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014D48A2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76DCD2" w14:textId="3E82B8D2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6D51EFD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32D48A0" w14:textId="77C8926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2E25B10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35C3919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6E9BD15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25A6066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2ED9F88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68430070" w14:textId="1FD6443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6D74AD04" w14:textId="685C8A0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01E549C" w14:textId="68F93357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43C2ECD2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3E375E51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03C302F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3089DCE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203A4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2DF2F3A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2957B21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4ED1578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2057108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177CB40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64CA926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3C6D4B5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34F3E51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7BACC94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1E10D0F" w14:textId="034F93B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4BA9201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E90C9D5" w14:textId="140AA18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675697F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40B8E9C4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681B01C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6787EEA2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33073CA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1F688715" w14:textId="1A7CDCC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0DFCAC8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5BE781E3" w14:textId="3DDF8DD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11F68E4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098BF01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62C38A4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3832928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203A4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4F1A9D7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4DBF4D37" w14:textId="032C831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14FA5ED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EF586D2" w14:textId="2E43CA7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0F7259F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568ADCB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08C0487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7BF3FE2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203A4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4669617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6C741FD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4538AFF9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3FE24079" w14:textId="2FF498C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096B148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2F5A708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79DE8F46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1BA4759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203A4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A203A4" w:rsidRPr="009A1837" w:rsidRDefault="00A203A4" w:rsidP="00A203A4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3914621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FF2C6DC" w14:textId="5A0416E8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FC3C1B5" w14:textId="2C08179C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C3D742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20B9CF5D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3BC8D630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4D058B1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0B6FEA1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A203A4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A203A4" w:rsidRPr="009A1837" w:rsidRDefault="00A203A4" w:rsidP="00A203A4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327A899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5" w:type="dxa"/>
            <w:noWrap/>
            <w:vAlign w:val="bottom"/>
          </w:tcPr>
          <w:p w14:paraId="69828353" w14:textId="1CB7FB15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2" w:type="dxa"/>
            <w:noWrap/>
            <w:vAlign w:val="bottom"/>
          </w:tcPr>
          <w:p w14:paraId="4EF4F4D9" w14:textId="7194D0E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noWrap/>
            <w:vAlign w:val="bottom"/>
          </w:tcPr>
          <w:p w14:paraId="2661FFAD" w14:textId="58F14C5E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223FB7FF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4" w:type="dxa"/>
            <w:noWrap/>
            <w:vAlign w:val="bottom"/>
          </w:tcPr>
          <w:p w14:paraId="7415164B" w14:textId="0741E39A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79CD9FDB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5707BCF3" w:rsidR="00A203A4" w:rsidRPr="009A1837" w:rsidRDefault="00A203A4" w:rsidP="00A203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1EA54B3C" w14:textId="0BD51CE8" w:rsidR="00295B17" w:rsidRPr="00295B17" w:rsidRDefault="00505809" w:rsidP="00295B17">
      <w:pPr>
        <w:spacing w:before="100" w:beforeAutospacing="1" w:after="100" w:afterAutospacing="1"/>
      </w:pPr>
      <w:r w:rsidRPr="00505809">
        <w:drawing>
          <wp:inline distT="0" distB="0" distL="0" distR="0" wp14:anchorId="0C8E7C1D" wp14:editId="1721EEDC">
            <wp:extent cx="6858000" cy="6226810"/>
            <wp:effectExtent l="0" t="0" r="0" b="2540"/>
            <wp:docPr id="1761255711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255711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34A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4.9000000000000004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5</c:v>
                </c:pt>
                <c:pt idx="14">
                  <c:v>4.6500000000000004</c:v>
                </c:pt>
                <c:pt idx="15">
                  <c:v>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7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5</c:v>
                </c:pt>
                <c:pt idx="14">
                  <c:v>2</c:v>
                </c:pt>
                <c:pt idx="15">
                  <c:v>6</c:v>
                </c:pt>
                <c:pt idx="1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4.21</c:v>
                </c:pt>
                <c:pt idx="15">
                  <c:v>4.51</c:v>
                </c:pt>
                <c:pt idx="16">
                  <c:v>5.59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0.53</c:v>
                </c:pt>
                <c:pt idx="16">
                  <c:v>0.63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66</c:v>
                </c:pt>
                <c:pt idx="16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5.1724137931034484</c:v>
                </c:pt>
                <c:pt idx="7">
                  <c:v>6.1016949152542379</c:v>
                </c:pt>
                <c:pt idx="8">
                  <c:v>4.9668874172185431</c:v>
                </c:pt>
                <c:pt idx="9">
                  <c:v>7.3825503355704702</c:v>
                </c:pt>
                <c:pt idx="10">
                  <c:v>5.7432432432432439</c:v>
                </c:pt>
                <c:pt idx="11">
                  <c:v>6.5146579804560263</c:v>
                </c:pt>
                <c:pt idx="12">
                  <c:v>5.8461538461538458</c:v>
                </c:pt>
                <c:pt idx="13">
                  <c:v>6.4516129032258061</c:v>
                </c:pt>
                <c:pt idx="14">
                  <c:v>9.3655589123867067</c:v>
                </c:pt>
                <c:pt idx="15">
                  <c:v>8.7542087542087543</c:v>
                </c:pt>
                <c:pt idx="16">
                  <c:v>8.5889570552147241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7.9161816065192081</c:v>
                </c:pt>
                <c:pt idx="15">
                  <c:v>8.6216364634816038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90</c:v>
                </c:pt>
                <c:pt idx="15">
                  <c:v>72</c:v>
                </c:pt>
                <c:pt idx="16">
                  <c:v>46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418</c:v>
                </c:pt>
                <c:pt idx="1">
                  <c:v>414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3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3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530</c:v>
                </c:pt>
                <c:pt idx="15">
                  <c:v>693</c:v>
                </c:pt>
                <c:pt idx="16">
                  <c:v>1040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56</c:v>
                </c:pt>
                <c:pt idx="16">
                  <c:v>84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6</c:v>
                </c:pt>
                <c:pt idx="1">
                  <c:v>19</c:v>
                </c:pt>
                <c:pt idx="2">
                  <c:v>33</c:v>
                </c:pt>
                <c:pt idx="3">
                  <c:v>72</c:v>
                </c:pt>
                <c:pt idx="4">
                  <c:v>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392</c:v>
                </c:pt>
                <c:pt idx="1">
                  <c:v>933</c:v>
                </c:pt>
                <c:pt idx="2">
                  <c:v>834</c:v>
                </c:pt>
                <c:pt idx="3">
                  <c:v>499</c:v>
                </c:pt>
                <c:pt idx="4">
                  <c:v>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813</Words>
  <Characters>6200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9</cp:revision>
  <cp:lastPrinted>2025-01-21T18:02:00Z</cp:lastPrinted>
  <dcterms:created xsi:type="dcterms:W3CDTF">2025-01-28T16:47:00Z</dcterms:created>
  <dcterms:modified xsi:type="dcterms:W3CDTF">2025-01-28T17:33:00Z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