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0DE64EDB" w:rsidR="00272295" w:rsidRDefault="00B75D30" w:rsidP="00697B1E">
      <w:r>
        <w:t xml:space="preserve">January </w:t>
      </w:r>
      <w:r w:rsidR="00E27351">
        <w:t>21</w:t>
      </w:r>
      <w:r w:rsidR="00337F3B">
        <w:t>, 202</w:t>
      </w:r>
      <w:r>
        <w:t>5</w:t>
      </w:r>
    </w:p>
    <w:p w14:paraId="4E65E6AD" w14:textId="6B0069E4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E27351">
        <w:t>3</w:t>
      </w:r>
      <w:r w:rsidR="00816D7A" w:rsidRPr="00FD1CC0">
        <w:t xml:space="preserve"> (ending </w:t>
      </w:r>
      <w:r w:rsidR="00E1357C">
        <w:t>1</w:t>
      </w:r>
      <w:r w:rsidR="00D37AB5">
        <w:t>/</w:t>
      </w:r>
      <w:r w:rsidR="00E27351">
        <w:t>18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A67F00">
        <w:rPr>
          <w:b/>
          <w:bCs/>
        </w:rPr>
        <w:t>U</w:t>
      </w:r>
      <w:r w:rsidR="00531811" w:rsidRPr="00A67F00">
        <w:rPr>
          <w:b/>
          <w:bCs/>
        </w:rPr>
        <w:t>.S. Outpatient Influenza</w:t>
      </w:r>
      <w:r w:rsidR="00531811" w:rsidRPr="001143EB">
        <w:rPr>
          <w:b/>
          <w:bCs/>
        </w:rPr>
        <w:t>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040B6576" w:rsidR="00673D41" w:rsidRPr="00615AE8" w:rsidRDefault="00A67F00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3.74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92F3D64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67F00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6BB10BEE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64E34AD6" w:rsidR="005C2BB6" w:rsidRPr="00364EE2" w:rsidRDefault="00E27351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4.16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4E46002C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E27351">
              <w:rPr>
                <w:b/>
                <w:bCs/>
              </w:rPr>
              <w:t>51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179B87C0" w:rsidR="00F226A4" w:rsidRPr="005B36F3" w:rsidRDefault="00E27351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7C88C86D" w:rsidR="00F226A4" w:rsidRPr="00FE11DD" w:rsidRDefault="00E27351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1F8D4125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4B19AC3C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03E72202" w:rsidR="00531811" w:rsidRPr="00615AE8" w:rsidRDefault="00E27351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6.29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6E787909" w:rsidR="00531811" w:rsidRPr="006454D1" w:rsidRDefault="00E27351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3AE3E32" w:rsidR="00615AE8" w:rsidRPr="006454D1" w:rsidRDefault="00E27351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7141AD71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ABA7BB9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E27351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6FDF47C1" w:rsidR="00771A38" w:rsidRPr="009B75A7" w:rsidRDefault="007B7791" w:rsidP="004B40FE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2515" w:type="dxa"/>
          </w:tcPr>
          <w:p w14:paraId="583B98F5" w14:textId="4A69E39B" w:rsidR="00771A38" w:rsidRPr="003D117B" w:rsidRDefault="00E27351" w:rsidP="004B40FE">
            <w:pPr>
              <w:jc w:val="center"/>
              <w:rPr>
                <w:bCs/>
              </w:rPr>
            </w:pPr>
            <w:r>
              <w:rPr>
                <w:bCs/>
              </w:rPr>
              <w:t>722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6F0A868" w:rsidR="00771A38" w:rsidRPr="009B75A7" w:rsidRDefault="00E27351" w:rsidP="004B40F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44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6AD02032" w:rsidR="00771A38" w:rsidRPr="003D117B" w:rsidRDefault="00E27351" w:rsidP="00EC39E9">
            <w:pPr>
              <w:jc w:val="center"/>
              <w:rPr>
                <w:bCs/>
              </w:rPr>
            </w:pPr>
            <w:r>
              <w:rPr>
                <w:bCs/>
              </w:rPr>
              <w:t>573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79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3BF17A9" w:rsidR="00771A38" w:rsidRPr="009B75A7" w:rsidRDefault="00E27351" w:rsidP="004B40F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56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4D9A8D66" w:rsidR="00771A38" w:rsidRPr="003D117B" w:rsidRDefault="007B7791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27351">
              <w:rPr>
                <w:bCs/>
              </w:rPr>
              <w:t>79</w:t>
            </w:r>
            <w:r w:rsidR="001F0369">
              <w:rPr>
                <w:bCs/>
              </w:rPr>
              <w:t xml:space="preserve"> (</w:t>
            </w:r>
            <w:r w:rsidR="009F4FE1">
              <w:rPr>
                <w:bCs/>
              </w:rPr>
              <w:t>4</w:t>
            </w:r>
            <w:r w:rsidR="00E27351">
              <w:rPr>
                <w:bCs/>
              </w:rPr>
              <w:t>9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E86E9F8" w:rsidR="00771A38" w:rsidRPr="009B75A7" w:rsidRDefault="00E27351" w:rsidP="004B40F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44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5E524170" w:rsidR="00771A38" w:rsidRPr="003D117B" w:rsidRDefault="007B7791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27351">
              <w:rPr>
                <w:bCs/>
              </w:rPr>
              <w:t>94</w:t>
            </w:r>
            <w:r w:rsidR="001F0369">
              <w:rPr>
                <w:bCs/>
              </w:rPr>
              <w:t xml:space="preserve"> (</w:t>
            </w:r>
            <w:r w:rsidR="009F4FE1">
              <w:rPr>
                <w:bCs/>
              </w:rPr>
              <w:t>5</w:t>
            </w:r>
            <w:r w:rsidR="00E27351">
              <w:rPr>
                <w:bCs/>
              </w:rPr>
              <w:t>1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1057BC5B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33E2D495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3859BD" w:rsidRDefault="00771A38" w:rsidP="002E3C1F">
            <w:pPr>
              <w:jc w:val="center"/>
              <w:rPr>
                <w:b/>
              </w:rPr>
            </w:pPr>
            <w:r w:rsidRPr="00A67F00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E27E8E7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E27351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23E5EA0" w:rsidR="000D6C22" w:rsidRPr="00EC39E9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1,595</w:t>
            </w:r>
          </w:p>
        </w:tc>
        <w:tc>
          <w:tcPr>
            <w:tcW w:w="2515" w:type="dxa"/>
          </w:tcPr>
          <w:p w14:paraId="783B27B2" w14:textId="1A89024C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67F00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A67F00">
              <w:rPr>
                <w:bCs/>
              </w:rPr>
              <w:t>992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C2185B2" w:rsidR="000D6C22" w:rsidRPr="00EC39E9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243 (15.2%)</w:t>
            </w:r>
          </w:p>
        </w:tc>
        <w:tc>
          <w:tcPr>
            <w:tcW w:w="2515" w:type="dxa"/>
          </w:tcPr>
          <w:p w14:paraId="04AD303C" w14:textId="53CC33EF" w:rsidR="000D6C22" w:rsidRPr="000C44D2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854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00C591F3" w:rsidR="000D6C22" w:rsidRPr="00EC39E9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232 (98%)</w:t>
            </w:r>
          </w:p>
        </w:tc>
        <w:tc>
          <w:tcPr>
            <w:tcW w:w="2515" w:type="dxa"/>
          </w:tcPr>
          <w:p w14:paraId="7F814D02" w14:textId="6A612C96" w:rsidR="000D6C22" w:rsidRPr="000C44D2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816</w:t>
            </w:r>
            <w:r w:rsidR="00BA2243">
              <w:rPr>
                <w:bCs/>
              </w:rPr>
              <w:t xml:space="preserve"> (9</w:t>
            </w:r>
            <w:r>
              <w:rPr>
                <w:bCs/>
              </w:rPr>
              <w:t>6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D3DBB5E" w:rsidR="000D6C22" w:rsidRPr="00EC39E9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11 (2%)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49FE212" w:rsidR="000D6C22" w:rsidRPr="000C44D2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83FE969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2F598D8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E27351">
              <w:rPr>
                <w:b/>
              </w:rPr>
              <w:t>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69616539" w:rsidR="0025564A" w:rsidRPr="009B75A7" w:rsidRDefault="00E27351" w:rsidP="000C44D2">
            <w:pPr>
              <w:jc w:val="center"/>
              <w:rPr>
                <w:bCs/>
              </w:rPr>
            </w:pPr>
            <w:r>
              <w:rPr>
                <w:bCs/>
              </w:rPr>
              <w:t>137</w:t>
            </w:r>
          </w:p>
        </w:tc>
        <w:tc>
          <w:tcPr>
            <w:tcW w:w="2515" w:type="dxa"/>
          </w:tcPr>
          <w:p w14:paraId="615F4E2C" w14:textId="161C1280" w:rsidR="0025564A" w:rsidRPr="004A56EB" w:rsidRDefault="00E27351" w:rsidP="000C44D2">
            <w:pPr>
              <w:jc w:val="center"/>
              <w:rPr>
                <w:bCs/>
              </w:rPr>
            </w:pPr>
            <w:r>
              <w:rPr>
                <w:bCs/>
              </w:rPr>
              <w:t>446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360084C" w:rsidR="0025564A" w:rsidRPr="009B75A7" w:rsidRDefault="00E27351" w:rsidP="000C44D2">
            <w:pPr>
              <w:jc w:val="center"/>
              <w:rPr>
                <w:bCs/>
              </w:rPr>
            </w:pPr>
            <w:r>
              <w:rPr>
                <w:bCs/>
              </w:rPr>
              <w:t>565</w:t>
            </w:r>
          </w:p>
        </w:tc>
        <w:tc>
          <w:tcPr>
            <w:tcW w:w="2515" w:type="dxa"/>
          </w:tcPr>
          <w:p w14:paraId="3EC6D09F" w14:textId="27289AF0" w:rsidR="0025564A" w:rsidRPr="004A56EB" w:rsidRDefault="007B7791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E27351">
              <w:rPr>
                <w:bCs/>
              </w:rPr>
              <w:t>917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582DE91A" w:rsidR="0025564A" w:rsidRPr="009B75A7" w:rsidRDefault="00E27351" w:rsidP="00FA5E32">
            <w:pPr>
              <w:jc w:val="center"/>
              <w:rPr>
                <w:bCs/>
              </w:rPr>
            </w:pPr>
            <w:r>
              <w:rPr>
                <w:bCs/>
              </w:rPr>
              <w:t>648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A9FD920" w:rsidR="0025564A" w:rsidRPr="004A56EB" w:rsidRDefault="00E27351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B7791">
              <w:rPr>
                <w:bCs/>
              </w:rPr>
              <w:t>,</w:t>
            </w:r>
            <w:r>
              <w:rPr>
                <w:bCs/>
              </w:rPr>
              <w:t>218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4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661944DC" w:rsidR="0025564A" w:rsidRPr="009B75A7" w:rsidRDefault="00E27351" w:rsidP="00FB640F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340ED29F" w:rsidR="0025564A" w:rsidRPr="004A56EB" w:rsidRDefault="00E27351" w:rsidP="009F53C2">
            <w:pPr>
              <w:jc w:val="center"/>
              <w:rPr>
                <w:bCs/>
              </w:rPr>
            </w:pPr>
            <w:r>
              <w:rPr>
                <w:bCs/>
              </w:rPr>
              <w:t>145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68EB53F1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10C7000E" w:rsidR="00697B1E" w:rsidRPr="00050158" w:rsidRDefault="0021122E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39</w:t>
      </w:r>
      <w:r w:rsidR="002C6AF9">
        <w:rPr>
          <w:sz w:val="23"/>
          <w:szCs w:val="23"/>
        </w:rPr>
        <w:t>.</w:t>
      </w:r>
      <w:r>
        <w:rPr>
          <w:sz w:val="23"/>
          <w:szCs w:val="23"/>
        </w:rPr>
        <w:t>7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9F37E2C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E27351">
        <w:rPr>
          <w:b/>
          <w:noProof/>
        </w:rPr>
        <w:t>3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117247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69300DB2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1A3EB957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4819E363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30B1A8CD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1AAA3E6A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70C78A3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2558276F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2D040D69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1873328F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74553B77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1C04FA2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38B10B4B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1803F563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DD15174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1584212D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7138F43C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1EA44961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063772C7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630C529C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30245395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4E7B5F4A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2829E8F2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4387A75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362C510A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7EDF5B0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56FFF479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62248E1A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3FAB2710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0B1E526C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64EAF730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6C94863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2567B73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75CECE2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6B790533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7FDD1B84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7CF494F3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9C803D1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76DBE282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1BA77A86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6BDE6DA2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7062CDA5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0AD63AE3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35FCD98A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A79F3D5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31A57754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B41F542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65F212F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5D61C1AA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27222F35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7546F3AF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A920B34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248E300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ADAA37A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A58CDF2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2A532D1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00031560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Low</w:t>
            </w:r>
          </w:p>
        </w:tc>
      </w:tr>
      <w:tr w:rsidR="00117247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1E1991FB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27C1FAE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409D8D3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6E35BCF3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117247" w:rsidRPr="00EC39E9" w:rsidRDefault="00117247" w:rsidP="00117247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4CF00AF" w:rsidR="00117247" w:rsidRPr="00B33FEE" w:rsidRDefault="00117247" w:rsidP="0011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58EE7AEB" w:rsidR="00117247" w:rsidRPr="00AE23ED" w:rsidRDefault="00117247" w:rsidP="0011724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59840F7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4A008C00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117247">
              <w:rPr>
                <w:sz w:val="22"/>
                <w:szCs w:val="22"/>
              </w:rPr>
              <w:t>Moderate</w:t>
            </w:r>
          </w:p>
        </w:tc>
      </w:tr>
      <w:tr w:rsidR="00117247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117247" w:rsidRPr="00EC39E9" w:rsidRDefault="00117247" w:rsidP="00117247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7A82EAE6" w:rsidR="00117247" w:rsidRPr="00117247" w:rsidRDefault="00117247" w:rsidP="001172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72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6610BCE" w:rsidR="00117247" w:rsidRPr="00AE23ED" w:rsidRDefault="00117247" w:rsidP="0011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117247" w:rsidRPr="005C4665" w:rsidRDefault="00117247" w:rsidP="00117247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10A7E15D" w:rsidR="00BD2082" w:rsidRDefault="00930B86" w:rsidP="00076584">
      <w:pPr>
        <w:ind w:left="540"/>
        <w:rPr>
          <w:b/>
          <w:noProof/>
          <w:sz w:val="20"/>
          <w:szCs w:val="20"/>
        </w:rPr>
      </w:pPr>
      <w:r w:rsidRPr="00BE0A09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1ABCDBD3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013E" w:rsidRPr="00BE0A09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01685621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 w:rsidRPr="00BE0A09">
        <w:rPr>
          <w:b/>
          <w:noProof/>
          <w:sz w:val="20"/>
          <w:szCs w:val="20"/>
        </w:rPr>
        <w:t xml:space="preserve"> </w:t>
      </w:r>
      <w:r w:rsidR="00770445" w:rsidRPr="00BE0A09">
        <w:rPr>
          <w:b/>
          <w:noProof/>
          <w:sz w:val="20"/>
          <w:szCs w:val="20"/>
        </w:rPr>
        <w:t>Influenza</w:t>
      </w:r>
      <w:r w:rsidR="00770445" w:rsidRPr="00930B86">
        <w:rPr>
          <w:b/>
          <w:noProof/>
          <w:sz w:val="20"/>
          <w:szCs w:val="20"/>
        </w:rPr>
        <w:t xml:space="preserve"> </w:t>
      </w:r>
      <w:r w:rsidR="00087213" w:rsidRPr="00930B86">
        <w:rPr>
          <w:b/>
          <w:noProof/>
          <w:sz w:val="20"/>
          <w:szCs w:val="20"/>
        </w:rPr>
        <w:t>Activity</w:t>
      </w:r>
      <w:r w:rsidR="00266949" w:rsidRPr="00930B86">
        <w:rPr>
          <w:b/>
          <w:noProof/>
          <w:sz w:val="20"/>
          <w:szCs w:val="20"/>
        </w:rPr>
        <w:t xml:space="preserve"> </w:t>
      </w:r>
      <w:r w:rsidR="00087213" w:rsidRPr="00930B86">
        <w:rPr>
          <w:b/>
          <w:noProof/>
          <w:sz w:val="20"/>
          <w:szCs w:val="20"/>
        </w:rPr>
        <w:t>Trends</w:t>
      </w:r>
      <w:r w:rsidR="00770445" w:rsidRPr="00930B86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E27351">
        <w:rPr>
          <w:b/>
          <w:noProof/>
          <w:sz w:val="20"/>
          <w:szCs w:val="20"/>
        </w:rPr>
        <w:t>3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930B86">
        <w:rPr>
          <w:b/>
          <w:noProof/>
          <w:sz w:val="20"/>
          <w:szCs w:val="20"/>
        </w:rPr>
        <w:t>Influenza Severity Estimates, Maine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E27351">
        <w:rPr>
          <w:b/>
          <w:noProof/>
          <w:sz w:val="20"/>
          <w:szCs w:val="20"/>
        </w:rPr>
        <w:t>3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26C622FA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11724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08CA4029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11724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3412D191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117247">
              <w:rPr>
                <w:bCs/>
                <w:sz w:val="22"/>
                <w:szCs w:val="22"/>
              </w:rPr>
              <w:t>9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242FF479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885" w:type="dxa"/>
          </w:tcPr>
          <w:p w14:paraId="75F459AB" w14:textId="4B855B9D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1724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1CC775F5" w14:textId="00BC439D" w:rsidR="00B62A80" w:rsidRPr="009A1837" w:rsidRDefault="00266B9A" w:rsidP="00B62A80">
      <w:pPr>
        <w:rPr>
          <w:bCs/>
          <w:sz w:val="16"/>
          <w:szCs w:val="16"/>
        </w:rPr>
      </w:pPr>
      <w:r w:rsidRPr="009A1837">
        <w:rPr>
          <w:bCs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0DF4931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5B6CC6B" w:rsidR="00906328" w:rsidRPr="000870E7" w:rsidRDefault="0011724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02A94884" w:rsidR="00906328" w:rsidRPr="00FE11DD" w:rsidRDefault="0011724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9900CF7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117247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1C8CDD2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0CDB5B" w14:textId="1FC24DF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714836D4" w14:textId="367B877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A6C5E1F" w14:textId="40C11882" w:rsidR="00117247" w:rsidRPr="009A1837" w:rsidRDefault="00117247" w:rsidP="0011724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0E4D730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489778B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6297902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61AE3D9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7247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6CB96E1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3DBCD9E" w14:textId="20548AD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126391F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5A80698" w14:textId="5F81DC4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4BF0F86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26C8879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5DD7461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31B6E4F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117247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68FE69B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2E466281" w14:textId="06B2C78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D3DAD6D" w14:textId="28C4C25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58C24ED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2082686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908BD50" w14:textId="748B351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1C1A53B2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4110398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17247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79526E5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1D1FC96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5B04463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7AD5C7D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70CDD1A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3837BD9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6567E8F6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4B9E353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739709C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9337B5A" w14:textId="5F20DC0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70FF7BF" w14:textId="710C9AD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AA0423D" w14:textId="18CB72E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22FD8EF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5921990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0F9CBFF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E3435B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0CDF1CA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2E26918" w14:textId="7695D54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74CCE76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4DDC8C5" w14:textId="11EC58E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20E54D5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632701D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AB9592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21A7E3C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117247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1BE76436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6221E34D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F5F55" w14:textId="036D06E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4291440" w14:textId="1512C0E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4CFDD26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06B0107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407AE09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1070FE6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117247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7B5440F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011A9E7" w14:textId="26C2B1D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6BCA549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635B25C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516CE276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6CD52AC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7B12624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60D9A50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E68446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76DCD2" w14:textId="689E6C7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5A3990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32D48A0" w14:textId="7608422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48351C62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55AE2367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1BF9FC2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5D5584D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095726A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68430070" w14:textId="3EF9A2A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D74AD04" w14:textId="4F8FDE6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1F21C69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5C84B98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76BE6F8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78C4980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6A420FB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7247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4862597D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7FD6712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689134F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1DB8F08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41525C4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007FC4F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45078F8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686DF9D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02E1618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1E10D0F" w14:textId="7AD929A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84FDA8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E90C9D5" w14:textId="49432176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2FBB16D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4ABDC01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6D4C5E5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3384467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6B334CD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5BC04CB2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0EFE437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E781E3" w14:textId="54020D9D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091CC096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516D0F9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62D4298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5908D7D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17247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1A8A4E1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DBF4D37" w14:textId="537124C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DFB5BB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EF586D2" w14:textId="3E64540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558D06F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05102F7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1825AEE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06EB5F5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7247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776BE91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5160700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2FF78B9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FE24079" w14:textId="5065EEF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5F79AA3B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4B85FC3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6E22D485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311A5A2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7247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117247" w:rsidRPr="009A1837" w:rsidRDefault="00117247" w:rsidP="00117247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7CE5BEA8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FF2C6DC" w14:textId="1116C44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FC3C1B5" w14:textId="0FD39614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3EB2A27" w14:textId="53C57C9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29469E8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75E8821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2948323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265ABFE0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17247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117247" w:rsidRPr="009A1837" w:rsidRDefault="00117247" w:rsidP="00117247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777C5AAC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69828353" w14:textId="7EE3DE8A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4EF4F4D9" w14:textId="742CF6A9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2661FFAD" w14:textId="16E91ED3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087A9C2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noWrap/>
            <w:vAlign w:val="bottom"/>
          </w:tcPr>
          <w:p w14:paraId="7415164B" w14:textId="6D99DB6E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5EAD1C01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655EAD4F" w:rsidR="00117247" w:rsidRPr="009A1837" w:rsidRDefault="00117247" w:rsidP="0011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1EA54B3C" w14:textId="367893C7" w:rsidR="00295B17" w:rsidRPr="00295B17" w:rsidRDefault="00117247" w:rsidP="00295B17">
      <w:pPr>
        <w:spacing w:before="100" w:beforeAutospacing="1" w:after="100" w:afterAutospacing="1"/>
      </w:pPr>
      <w:r w:rsidRPr="00117247">
        <w:rPr>
          <w:noProof/>
        </w:rPr>
        <w:drawing>
          <wp:inline distT="0" distB="0" distL="0" distR="0" wp14:anchorId="0F17F265" wp14:editId="1DFAB82F">
            <wp:extent cx="6788785" cy="6181802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358" cy="61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2.68</c:v>
                </c:pt>
                <c:pt idx="13">
                  <c:v>3.21</c:v>
                </c:pt>
                <c:pt idx="14">
                  <c:v>3.18</c:v>
                </c:pt>
                <c:pt idx="15">
                  <c:v>3.74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4.9800000000000004</c:v>
                </c:pt>
                <c:pt idx="14">
                  <c:v>4.59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4</c:v>
                </c:pt>
                <c:pt idx="14">
                  <c:v>2</c:v>
                </c:pt>
                <c:pt idx="1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4.2300000000000004</c:v>
                </c:pt>
                <c:pt idx="14">
                  <c:v>4.01</c:v>
                </c:pt>
                <c:pt idx="15">
                  <c:v>4.16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5.8823529411764701</c:v>
                </c:pt>
                <c:pt idx="11">
                  <c:v>6.6445182724252501</c:v>
                </c:pt>
                <c:pt idx="12">
                  <c:v>6.0509554140127388</c:v>
                </c:pt>
                <c:pt idx="13">
                  <c:v>6.557377049180328</c:v>
                </c:pt>
                <c:pt idx="14">
                  <c:v>9.0625</c:v>
                </c:pt>
                <c:pt idx="15">
                  <c:v>6.2893081761006293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7.4150787075393536</c:v>
                </c:pt>
                <c:pt idx="14">
                  <c:v>8.1225033288948083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93</c:v>
                </c:pt>
                <c:pt idx="14">
                  <c:v>67</c:v>
                </c:pt>
                <c:pt idx="15">
                  <c:v>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94</c:v>
                </c:pt>
                <c:pt idx="14">
                  <c:v>73</c:v>
                </c:pt>
                <c:pt idx="15">
                  <c:v>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279</c:v>
                </c:pt>
                <c:pt idx="1">
                  <c:v>294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3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325</c:v>
                </c:pt>
                <c:pt idx="13">
                  <c:v>470</c:v>
                </c:pt>
                <c:pt idx="14">
                  <c:v>529</c:v>
                </c:pt>
                <c:pt idx="15">
                  <c:v>648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7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26</c:v>
                </c:pt>
                <c:pt idx="3">
                  <c:v>48</c:v>
                </c:pt>
                <c:pt idx="4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276</c:v>
                </c:pt>
                <c:pt idx="1">
                  <c:v>557</c:v>
                </c:pt>
                <c:pt idx="2">
                  <c:v>560</c:v>
                </c:pt>
                <c:pt idx="3">
                  <c:v>338</c:v>
                </c:pt>
                <c:pt idx="4">
                  <c:v>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806</Words>
  <Characters>6190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7</cp:revision>
  <cp:lastPrinted>2025-01-21T18:02:00Z</cp:lastPrinted>
  <dcterms:created xsi:type="dcterms:W3CDTF">2025-01-21T15:22:00Z</dcterms:created>
  <dcterms:modified xsi:type="dcterms:W3CDTF">2025-01-21T18:02:00Z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