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10FDC841" w:rsidR="00272295" w:rsidRDefault="002923CF" w:rsidP="00697B1E">
      <w:r>
        <w:t xml:space="preserve">December </w:t>
      </w:r>
      <w:r w:rsidR="00321A24">
        <w:t>31</w:t>
      </w:r>
      <w:r w:rsidR="00337F3B">
        <w:t>, 202</w:t>
      </w:r>
      <w:r w:rsidR="003E4E12">
        <w:t>4</w:t>
      </w:r>
    </w:p>
    <w:p w14:paraId="4E65E6AD" w14:textId="7294671E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95248F">
        <w:t>5</w:t>
      </w:r>
      <w:r w:rsidR="00321A24">
        <w:t>2</w:t>
      </w:r>
      <w:r w:rsidR="00816D7A" w:rsidRPr="00FD1CC0">
        <w:t xml:space="preserve"> (ending </w:t>
      </w:r>
      <w:r w:rsidR="00E1357C">
        <w:t>12</w:t>
      </w:r>
      <w:r w:rsidR="00D37AB5">
        <w:t>/</w:t>
      </w:r>
      <w:r w:rsidR="007664BE">
        <w:t>2</w:t>
      </w:r>
      <w:r w:rsidR="00321A24">
        <w:t>8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(ILINet</w:t>
      </w:r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r w:rsidR="00BA3739" w:rsidRPr="00102F3C">
        <w:rPr>
          <w:b/>
          <w:sz w:val="18"/>
          <w:szCs w:val="18"/>
        </w:rPr>
        <w:t>ILINet,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253F8631" w:rsidR="00673D41" w:rsidRPr="00615AE8" w:rsidRDefault="00C3456E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3.05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r w:rsidR="00A93A27">
              <w:rPr>
                <w:color w:val="FFFFFF" w:themeColor="background1"/>
              </w:rPr>
              <w:t xml:space="preserve">ILINet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0E813469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36E80353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79F2B490" w:rsidR="005C2BB6" w:rsidRPr="00364EE2" w:rsidRDefault="00BA224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3.16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48F29355" w:rsidR="005C2BB6" w:rsidRPr="00FE11DD" w:rsidRDefault="00BA224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0.69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790DC203" w:rsidR="00F226A4" w:rsidRPr="005B36F3" w:rsidRDefault="00BA224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61339B0F" w:rsidR="00F226A4" w:rsidRPr="00FE11DD" w:rsidRDefault="00BA224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102F3C">
        <w:rPr>
          <w:b/>
          <w:sz w:val="18"/>
          <w:szCs w:val="18"/>
        </w:rPr>
        <w:t>Syndromic Surveillance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 w:rsidRPr="0033391B">
        <w:rPr>
          <w:noProof/>
          <w:sz w:val="20"/>
          <w:szCs w:val="20"/>
        </w:rPr>
        <w:drawing>
          <wp:inline distT="0" distB="0" distL="0" distR="0" wp14:anchorId="4F45D6E5" wp14:editId="5E11A606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661B2159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6A410C7C" w:rsidR="00531811" w:rsidRPr="00615AE8" w:rsidRDefault="00BA2243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6.12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3B0A3875" w:rsidR="00531811" w:rsidRPr="006454D1" w:rsidRDefault="009B102D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551D5C72" w:rsidR="00615AE8" w:rsidRPr="006454D1" w:rsidRDefault="009F53C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39DB461F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A9BACFF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5248F">
              <w:rPr>
                <w:b/>
              </w:rPr>
              <w:t>5</w:t>
            </w:r>
            <w:r w:rsidR="005C730E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4450D007" w:rsidR="00771A38" w:rsidRPr="009B75A7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2515" w:type="dxa"/>
          </w:tcPr>
          <w:p w14:paraId="583B98F5" w14:textId="4F75BF57" w:rsidR="00771A38" w:rsidRPr="003D117B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147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1ED2B0BA" w:rsidR="00771A38" w:rsidRPr="009B75A7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55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78991846" w:rsidR="00771A38" w:rsidRPr="003D117B" w:rsidRDefault="00BA2243" w:rsidP="00EC39E9">
            <w:pPr>
              <w:jc w:val="center"/>
              <w:rPr>
                <w:bCs/>
              </w:rPr>
            </w:pPr>
            <w:r>
              <w:rPr>
                <w:bCs/>
              </w:rPr>
              <w:t>92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63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49BD8708" w:rsidR="00771A38" w:rsidRPr="009B75A7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51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00E22ECE" w:rsidR="00771A38" w:rsidRPr="003D117B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51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20FAF025" w:rsidR="00771A38" w:rsidRPr="009B75A7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49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3FE92382" w:rsidR="00771A38" w:rsidRPr="003D117B" w:rsidRDefault="00BA2243" w:rsidP="004B40F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49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17F766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543549DC" w:rsidR="00771A38" w:rsidRPr="003D117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0946479A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35ECF5C" w14:textId="36C383A8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6BF1176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2D808F33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45CC07A6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0140016B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0910C12D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5248F">
              <w:rPr>
                <w:b/>
              </w:rPr>
              <w:t>5</w:t>
            </w:r>
            <w:r w:rsidR="005C730E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6D579B3C" w:rsidR="000D6C22" w:rsidRPr="00EC39E9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1,219</w:t>
            </w:r>
          </w:p>
        </w:tc>
        <w:tc>
          <w:tcPr>
            <w:tcW w:w="2515" w:type="dxa"/>
          </w:tcPr>
          <w:p w14:paraId="783B27B2" w14:textId="552929AD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12,084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43477E00" w:rsidR="000D6C22" w:rsidRPr="00EC39E9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118 (10%)</w:t>
            </w:r>
          </w:p>
        </w:tc>
        <w:tc>
          <w:tcPr>
            <w:tcW w:w="2515" w:type="dxa"/>
          </w:tcPr>
          <w:p w14:paraId="04AD303C" w14:textId="55B2E1B3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205 (1.7%)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7A4DFB5A" w:rsidR="000D6C22" w:rsidRPr="00EC39E9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112 (95%)</w:t>
            </w:r>
          </w:p>
        </w:tc>
        <w:tc>
          <w:tcPr>
            <w:tcW w:w="2515" w:type="dxa"/>
          </w:tcPr>
          <w:p w14:paraId="7F814D02" w14:textId="322B26DF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191 (93%)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3DA8EBCB" w:rsidR="000D6C22" w:rsidRPr="00EC39E9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6 (5%)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CCB7079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14 (7%)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53A6C3FF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4DE69A80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95248F">
              <w:rPr>
                <w:b/>
              </w:rPr>
              <w:t>5</w:t>
            </w:r>
            <w:r w:rsidR="005C730E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3B623B4C" w:rsidR="0025564A" w:rsidRPr="009B75A7" w:rsidRDefault="00AA1086" w:rsidP="000C44D2">
            <w:pPr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2515" w:type="dxa"/>
          </w:tcPr>
          <w:p w14:paraId="615F4E2C" w14:textId="3F1AD282" w:rsidR="0025564A" w:rsidRPr="004A56EB" w:rsidRDefault="00AA1086" w:rsidP="000C44D2">
            <w:pPr>
              <w:jc w:val="center"/>
              <w:rPr>
                <w:bCs/>
              </w:rPr>
            </w:pPr>
            <w:r>
              <w:rPr>
                <w:bCs/>
              </w:rPr>
              <w:t>146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2D55C89" w:rsidR="0025564A" w:rsidRPr="009B75A7" w:rsidRDefault="00AA1086" w:rsidP="000C44D2">
            <w:pPr>
              <w:jc w:val="center"/>
              <w:rPr>
                <w:bCs/>
              </w:rPr>
            </w:pPr>
            <w:r>
              <w:rPr>
                <w:bCs/>
              </w:rPr>
              <w:t>275</w:t>
            </w:r>
          </w:p>
        </w:tc>
        <w:tc>
          <w:tcPr>
            <w:tcW w:w="2515" w:type="dxa"/>
          </w:tcPr>
          <w:p w14:paraId="3EC6D09F" w14:textId="1143FD0E" w:rsidR="0025564A" w:rsidRPr="004A56EB" w:rsidRDefault="00AA1086" w:rsidP="000C44D2">
            <w:pPr>
              <w:jc w:val="center"/>
              <w:rPr>
                <w:bCs/>
              </w:rPr>
            </w:pPr>
            <w:r>
              <w:rPr>
                <w:bCs/>
              </w:rPr>
              <w:t>471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700BD70B" w:rsidR="0025564A" w:rsidRPr="009B75A7" w:rsidRDefault="00AA1086" w:rsidP="00FA5E32">
            <w:pPr>
              <w:jc w:val="center"/>
              <w:rPr>
                <w:bCs/>
              </w:rPr>
            </w:pPr>
            <w:r>
              <w:rPr>
                <w:bCs/>
              </w:rPr>
              <w:t>317 (94%)</w:t>
            </w:r>
          </w:p>
        </w:tc>
        <w:tc>
          <w:tcPr>
            <w:tcW w:w="2515" w:type="dxa"/>
          </w:tcPr>
          <w:p w14:paraId="3F0901ED" w14:textId="2748CE19" w:rsidR="0025564A" w:rsidRPr="004A56EB" w:rsidRDefault="00AA1086" w:rsidP="000C44D2">
            <w:pPr>
              <w:jc w:val="center"/>
              <w:rPr>
                <w:bCs/>
              </w:rPr>
            </w:pPr>
            <w:r>
              <w:rPr>
                <w:bCs/>
              </w:rPr>
              <w:t>560 (91%)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D8D57B0" w:rsidR="0025564A" w:rsidRPr="009B75A7" w:rsidRDefault="00AA1086" w:rsidP="00FB640F">
            <w:pPr>
              <w:jc w:val="center"/>
              <w:rPr>
                <w:bCs/>
              </w:rPr>
            </w:pPr>
            <w:r>
              <w:rPr>
                <w:bCs/>
              </w:rPr>
              <w:t>21 (6%)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3F6448E4" w:rsidR="0025564A" w:rsidRPr="004A56EB" w:rsidRDefault="00AA1086" w:rsidP="009F53C2">
            <w:pPr>
              <w:jc w:val="center"/>
              <w:rPr>
                <w:bCs/>
              </w:rPr>
            </w:pPr>
            <w:r>
              <w:rPr>
                <w:bCs/>
              </w:rPr>
              <w:t>617 (9%)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3F4E38DB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 xml:space="preserve"> 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0537FE18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95248F">
        <w:rPr>
          <w:b/>
          <w:noProof/>
        </w:rPr>
        <w:t>5</w:t>
      </w:r>
      <w:r w:rsidR="005C730E">
        <w:rPr>
          <w:b/>
          <w:noProof/>
        </w:rPr>
        <w:t>2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AE23ED" w:rsidRPr="002863C0" w14:paraId="203AA38F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340DC213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0DE3" w14:textId="2D90B590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7FB3" w14:textId="24AF586B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57E4520F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59C7FA29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EDB17EA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FCB0" w14:textId="23920FE9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BE36" w14:textId="75DFD3E4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74170603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4220CEE3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6312AA7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CCB0" w14:textId="357912C5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E3928" w14:textId="26D0B58F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324E908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311B0803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273DF673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9AC0E" w14:textId="00D1E118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3D8D" w14:textId="2FD1FFCC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0B0AA8F7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6813F2B4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0F2472F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7712" w14:textId="0EB4FAD0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C79A" w14:textId="264F0E93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3300C820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1A9FB1D3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045A673D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68E87" w14:textId="5006ADAB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912E" w14:textId="41EEF299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400A3689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70509802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1B3740EA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B4F42" w14:textId="2B414FA1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4390" w14:textId="06DD9F38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62DB0779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0BB5CCC4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31C21BDD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0702" w14:textId="03988ED6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7F84" w14:textId="7F31CD54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07BAA7C5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13039716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7EB3B25E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6CFE" w14:textId="0EAC55D4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0E83" w14:textId="349F133E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1EC2D8E1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6E6E3229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4ECEAC1F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93652" w14:textId="04654E55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E06C" w14:textId="55B1F196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3406FEF0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3C0D1A53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69ADF15C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9C49" w14:textId="3D7ABBB7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716B" w14:textId="268DECF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0B6F16CE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75F3757F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511136EE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0D859" w14:textId="28803519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CD09" w14:textId="2DC7D78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3FCA999A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39E7D0EC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1C752081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42F3" w14:textId="5981BCD9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2D56" w14:textId="66A356AA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5A738EB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7BA5E65B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546CB8BF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F3BD" w14:textId="6136B695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56BB" w14:textId="234099B1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1E36362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07C5CFFD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69F866F4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DD031" w14:textId="0B076599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CE86" w14:textId="0054DE4A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20C7664F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3B79B1F9" w14:textId="77777777" w:rsidTr="006D5702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E23ED" w:rsidRPr="00EC39E9" w:rsidRDefault="00AE23ED" w:rsidP="00AE23ED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79928A3C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3E25" w14:textId="35D14E89" w:rsidR="00AE23ED" w:rsidRPr="00AE23ED" w:rsidRDefault="00AE23ED" w:rsidP="00AE23ED">
            <w:pPr>
              <w:jc w:val="center"/>
              <w:rPr>
                <w:sz w:val="22"/>
                <w:szCs w:val="22"/>
              </w:rPr>
            </w:pPr>
            <w:r w:rsidRPr="00AE23ED">
              <w:rPr>
                <w:sz w:val="22"/>
                <w:szCs w:val="22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FA90" w14:textId="52E07F32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1CACA1C5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Low</w:t>
            </w:r>
          </w:p>
        </w:tc>
      </w:tr>
      <w:tr w:rsidR="00AE23ED" w:rsidRPr="002863C0" w14:paraId="0BBB4864" w14:textId="77777777" w:rsidTr="006D5702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AE23ED" w:rsidRPr="00EC39E9" w:rsidRDefault="00AE23ED" w:rsidP="00AE23ED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5CE19B6" w:rsidR="00AE23ED" w:rsidRPr="005C4665" w:rsidRDefault="00AE23ED" w:rsidP="00AE23ED">
            <w:pPr>
              <w:jc w:val="center"/>
              <w:rPr>
                <w:b/>
                <w:bCs/>
                <w:sz w:val="22"/>
                <w:szCs w:val="22"/>
              </w:rPr>
            </w:pPr>
            <w:r w:rsidRPr="005C4665">
              <w:rPr>
                <w:b/>
                <w:bCs/>
                <w:sz w:val="22"/>
                <w:szCs w:val="22"/>
              </w:rPr>
              <w:t>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CEF2" w14:textId="39BEC133" w:rsidR="00AE23ED" w:rsidRPr="00AE23ED" w:rsidRDefault="00AE23ED" w:rsidP="00AE23ED">
            <w:pPr>
              <w:jc w:val="center"/>
              <w:rPr>
                <w:b/>
                <w:bCs/>
                <w:sz w:val="22"/>
                <w:szCs w:val="22"/>
              </w:rPr>
            </w:pPr>
            <w:r w:rsidRPr="00AE23ED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AE23ED" w:rsidRPr="005C4665" w:rsidRDefault="00AE23ED" w:rsidP="00AE23ED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2AD78A87" w:rsidR="00BD2082" w:rsidRDefault="00EC39E9" w:rsidP="00076584">
      <w:pPr>
        <w:ind w:left="540"/>
        <w:rPr>
          <w:b/>
          <w:noProof/>
          <w:sz w:val="20"/>
          <w:szCs w:val="20"/>
        </w:rPr>
      </w:pPr>
      <w:r w:rsidRPr="00076584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17F7FCE8">
            <wp:simplePos x="0" y="0"/>
            <wp:positionH relativeFrom="column">
              <wp:posOffset>234950</wp:posOffset>
            </wp:positionH>
            <wp:positionV relativeFrom="paragraph">
              <wp:posOffset>196850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0A2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561CBC23">
            <wp:simplePos x="0" y="0"/>
            <wp:positionH relativeFrom="margin">
              <wp:posOffset>3680460</wp:posOffset>
            </wp:positionH>
            <wp:positionV relativeFrom="paragraph">
              <wp:posOffset>213360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95248F">
        <w:rPr>
          <w:b/>
          <w:noProof/>
          <w:sz w:val="20"/>
          <w:szCs w:val="20"/>
        </w:rPr>
        <w:t>5</w:t>
      </w:r>
      <w:r w:rsidR="00AE23ED">
        <w:rPr>
          <w:b/>
          <w:noProof/>
          <w:sz w:val="20"/>
          <w:szCs w:val="20"/>
        </w:rPr>
        <w:t>2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95248F">
        <w:rPr>
          <w:b/>
          <w:noProof/>
          <w:sz w:val="20"/>
          <w:szCs w:val="20"/>
        </w:rPr>
        <w:t>5</w:t>
      </w:r>
      <w:r w:rsidR="00AE23ED">
        <w:rPr>
          <w:b/>
          <w:noProof/>
          <w:sz w:val="20"/>
          <w:szCs w:val="20"/>
        </w:rPr>
        <w:t>2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5A42A071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756" w:type="dxa"/>
          </w:tcPr>
          <w:p w14:paraId="7FF8DFE0" w14:textId="6280D56E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2F32C423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53EFB153" w14:textId="499B3F71" w:rsidR="00B62A80" w:rsidRPr="009F53C2" w:rsidRDefault="009A1837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756" w:type="dxa"/>
          </w:tcPr>
          <w:p w14:paraId="2D728FBA" w14:textId="19E3D6E4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1081B4C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85" w:type="dxa"/>
          </w:tcPr>
          <w:p w14:paraId="75F459AB" w14:textId="5B0085BD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56" w:type="dxa"/>
          </w:tcPr>
          <w:p w14:paraId="3A20F241" w14:textId="3E1788E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</w:tr>
    </w:tbl>
    <w:p w14:paraId="1CC775F5" w14:textId="00BC439D" w:rsidR="00B62A80" w:rsidRPr="009A1837" w:rsidRDefault="00266B9A" w:rsidP="00B62A80">
      <w:pPr>
        <w:rPr>
          <w:bCs/>
          <w:sz w:val="16"/>
          <w:szCs w:val="16"/>
        </w:rPr>
      </w:pPr>
      <w:r w:rsidRPr="009A1837">
        <w:rPr>
          <w:bCs/>
          <w:sz w:val="16"/>
          <w:szCs w:val="16"/>
        </w:rPr>
        <w:t>*Data suppressed.</w:t>
      </w: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31A024E0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AD22B87" w:rsidR="00906328" w:rsidRPr="000870E7" w:rsidRDefault="00A266AA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7B14EB5E" w:rsidR="00906328" w:rsidRPr="00FE11DD" w:rsidRDefault="009A1837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54B7B70D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</w:tcPr>
          <w:p w14:paraId="1A1043FC" w14:textId="64A3FE9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D0CDB5B" w14:textId="7FAFEDA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14836D4" w14:textId="541B328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A6C5E1F" w14:textId="1B3C442F" w:rsidR="009C5AD9" w:rsidRPr="009A1837" w:rsidRDefault="009C5AD9" w:rsidP="00DD4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A63B5E3" w14:textId="0AA0511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E458B39" w14:textId="6B95D86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FAE7AA" w14:textId="78045DE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0965C6C" w14:textId="2C93846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</w:tcPr>
          <w:p w14:paraId="3EC3AD4A" w14:textId="18FB47C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3DBCD9E" w14:textId="63C85EF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6C0927" w14:textId="45B2842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5A80698" w14:textId="721091D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11BE7F" w14:textId="60DC597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5C600B4" w14:textId="1A0D352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815C8D0" w14:textId="641FCA7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6C5C215" w14:textId="324BFC5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</w:tcPr>
          <w:p w14:paraId="45AD8EA6" w14:textId="54C78715" w:rsidR="009C5AD9" w:rsidRPr="009A1837" w:rsidRDefault="008446B4" w:rsidP="009C5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2E466281" w14:textId="573B91A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D3DAD6D" w14:textId="6358973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2332224" w14:textId="4E19D25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EB17601" w14:textId="6C7BBCC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908BD50" w14:textId="4109411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535B55" w14:textId="2F71CE2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E3D1B4" w14:textId="281BD4D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</w:tcPr>
          <w:p w14:paraId="7E47F2FF" w14:textId="3EAE0B5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94217ED" w14:textId="58B4C5B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79C992A" w14:textId="741A4CD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DACD7B1" w14:textId="5E73ADE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ADB8FAB" w14:textId="54C4A32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4238265" w14:textId="0A335AA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14E0620" w14:textId="7A16920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094DE4A0" w14:textId="4EC224E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</w:tcPr>
          <w:p w14:paraId="2440135C" w14:textId="4D07347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9337B5A" w14:textId="4C4F55E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70FF7BF" w14:textId="025E88B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1AA0423D" w14:textId="1F8DB4B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119EE90" w14:textId="2C8852C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AE1B9F8" w14:textId="0987167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0A826A7" w14:textId="3FA978B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DDF9A0D" w14:textId="090DE2F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</w:tcPr>
          <w:p w14:paraId="34A5ACC9" w14:textId="05961184" w:rsidR="009C5AD9" w:rsidRPr="009A1837" w:rsidRDefault="008446B4" w:rsidP="009C5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52E26918" w14:textId="3DA1B5F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6A1E6" w14:textId="1CCF8B4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DDC8C5" w14:textId="00B8E6D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B6C340F" w14:textId="6093701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1162574" w14:textId="7F7FDE6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9A78C50" w14:textId="75D6411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BEA33E" w14:textId="74C8268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</w:tcPr>
          <w:p w14:paraId="7BD80100" w14:textId="6E9107F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8AB6932" w14:textId="74EB97E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F5F55" w14:textId="588FB41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4291440" w14:textId="7285F61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6FAA2F4" w14:textId="26E02C7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84A6454" w14:textId="4C6B89F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8F79D65" w14:textId="1BED26C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5DEBFB" w14:textId="3D7A968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</w:tcPr>
          <w:p w14:paraId="0CC6C21E" w14:textId="4CEC454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011A9E7" w14:textId="20671D8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0AFD4D2" w14:textId="22EBC79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841DDB" w14:textId="3BA816C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0B7A42CA" w14:textId="4FD2250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6C60F182" w14:textId="144D479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E1DF5EC" w14:textId="3BF7DF5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703594" w14:textId="22EDAD8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</w:tcPr>
          <w:p w14:paraId="3BCDA670" w14:textId="347587C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76DCD2" w14:textId="743ECA6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A023EB9" w14:textId="424F96F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32D48A0" w14:textId="70A5FAB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B48010F" w14:textId="7FFFF4F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545D7B9B" w14:textId="1AF74FA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15BDD60" w14:textId="393B10D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C486D36" w14:textId="0256FB6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</w:tcPr>
          <w:p w14:paraId="5F695DDE" w14:textId="1F2BBDC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68430070" w14:textId="0E11644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D74AD04" w14:textId="3B18D27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01E549C" w14:textId="507C7CE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6A0BCB7" w14:textId="5FD82C7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F747C5E" w14:textId="43C9E3D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2D3EB5B" w14:textId="7363C82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6F8C74B" w14:textId="13280BB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</w:tcPr>
          <w:p w14:paraId="506D0F55" w14:textId="6C1CE34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2F21077" w14:textId="230C3C4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1B6E5DE1" w14:textId="4CF269F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144080" w14:textId="1891B32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7FB7572" w14:textId="71344C3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4D57580" w14:textId="5BD1EF1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09763B" w14:textId="58D386D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7209A141" w14:textId="5DF7323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</w:tcPr>
          <w:p w14:paraId="7E8EA872" w14:textId="0FC1147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1E10D0F" w14:textId="3358C32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1BEC4CC" w14:textId="31EE392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3E90C9D5" w14:textId="40BCD4B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39BD6CE" w14:textId="44114FE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C8C824B" w14:textId="1F60F0E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56F2879" w14:textId="760F637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47090C3" w14:textId="6F4DA69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</w:tcPr>
          <w:p w14:paraId="5F0D61A9" w14:textId="3C97CFC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F688715" w14:textId="71AFD35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812FFAF" w14:textId="383EF63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E781E3" w14:textId="45D64DB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B6ECCD6" w14:textId="49A591D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4B512BF" w14:textId="70184B6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19CFD87" w14:textId="10E403D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EB72393" w14:textId="10FC09E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</w:tcPr>
          <w:p w14:paraId="66DD2AC9" w14:textId="0954FEF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DBF4D37" w14:textId="7A26D48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3F021BE9" w14:textId="780F5EC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EF586D2" w14:textId="11EF61B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C420393" w14:textId="22D6D0A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B8FFDB6" w14:textId="29DE9F4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E050AC1" w14:textId="71CBCE6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27A6D92" w14:textId="3015AFA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</w:tcPr>
          <w:p w14:paraId="05CC365C" w14:textId="569A5AC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064E11FC" w14:textId="40D51BA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C14AA9D" w14:textId="48C4A5C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FE24079" w14:textId="7FE8391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5D02A1C" w14:textId="1E3C055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7DEC714C" w14:textId="78A25B2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2C37DD9" w14:textId="1187251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0BFD6CE" w14:textId="4B014CE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</w:tcPr>
          <w:p w14:paraId="692C34CF" w14:textId="6FABE95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FF2C6DC" w14:textId="542ABBB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FC3C1B5" w14:textId="2C3E673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3EB2A27" w14:textId="292CF49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FBCD523" w14:textId="24D9628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A4977AE" w14:textId="4FDE098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81317D" w14:textId="3FCD6C9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1A547C1A" w14:textId="0BEEFCB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9C5AD9" w:rsidRPr="009A1837" w:rsidRDefault="009C5AD9" w:rsidP="009C5AD9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</w:tcPr>
          <w:p w14:paraId="332D3CCE" w14:textId="23C03ED1" w:rsidR="009C5AD9" w:rsidRPr="009A1837" w:rsidRDefault="008446B4" w:rsidP="009C5A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</w:tcPr>
          <w:p w14:paraId="69828353" w14:textId="113824B0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noWrap/>
          </w:tcPr>
          <w:p w14:paraId="4EF4F4D9" w14:textId="68FBA1A6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2661FFAD" w14:textId="17B46FA2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189A5755" w14:textId="0E45673A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noWrap/>
          </w:tcPr>
          <w:p w14:paraId="7415164B" w14:textId="3D51663B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680520D9" w14:textId="7216906C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noWrap/>
          </w:tcPr>
          <w:p w14:paraId="27CA0A5D" w14:textId="47D7A3E5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F340FA3" w14:textId="521741D4" w:rsidR="001B651F" w:rsidRDefault="00E2322A" w:rsidP="008F7AB4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414C3859" w14:textId="4FEEB485" w:rsidR="005C730E" w:rsidRPr="005C730E" w:rsidRDefault="005C730E" w:rsidP="005C730E">
      <w:pPr>
        <w:tabs>
          <w:tab w:val="left" w:pos="5896"/>
        </w:tabs>
        <w:rPr>
          <w:noProof/>
        </w:rPr>
      </w:pPr>
      <w:r w:rsidRPr="005C730E">
        <w:rPr>
          <w:noProof/>
        </w:rPr>
        <w:drawing>
          <wp:inline distT="0" distB="0" distL="0" distR="0" wp14:anchorId="28A79D59" wp14:editId="4A06D986">
            <wp:extent cx="6858000" cy="6310630"/>
            <wp:effectExtent l="0" t="0" r="0" b="0"/>
            <wp:docPr id="135902734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2734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6F53" w14:textId="60624E45" w:rsidR="00272940" w:rsidRPr="00272940" w:rsidRDefault="00272940" w:rsidP="00272940">
      <w:pPr>
        <w:tabs>
          <w:tab w:val="left" w:pos="5896"/>
        </w:tabs>
        <w:rPr>
          <w:noProof/>
        </w:rPr>
      </w:pPr>
    </w:p>
    <w:p w14:paraId="34BD940E" w14:textId="2040B171" w:rsidR="0095248F" w:rsidRPr="0095248F" w:rsidRDefault="0095248F" w:rsidP="0095248F">
      <w:pPr>
        <w:tabs>
          <w:tab w:val="left" w:pos="5896"/>
        </w:tabs>
        <w:rPr>
          <w:noProof/>
        </w:rPr>
      </w:pPr>
    </w:p>
    <w:p w14:paraId="795CBC05" w14:textId="7F052E96" w:rsidR="00A82148" w:rsidRPr="00A82148" w:rsidRDefault="00A82148" w:rsidP="00A82148">
      <w:pPr>
        <w:tabs>
          <w:tab w:val="left" w:pos="5896"/>
        </w:tabs>
        <w:rPr>
          <w:noProof/>
        </w:rPr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23CF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34A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53C2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3788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3.05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1.77861</c:v>
                </c:pt>
                <c:pt idx="6">
                  <c:v>1.8046599999999999</c:v>
                </c:pt>
                <c:pt idx="7">
                  <c:v>1.8969</c:v>
                </c:pt>
                <c:pt idx="8">
                  <c:v>2.0854300000000001</c:v>
                </c:pt>
                <c:pt idx="9">
                  <c:v>2.15693</c:v>
                </c:pt>
                <c:pt idx="10">
                  <c:v>2.3808400000000001</c:v>
                </c:pt>
                <c:pt idx="11">
                  <c:v>2.9276300000000002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1.95</c:v>
                </c:pt>
                <c:pt idx="12">
                  <c:v>3.16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  <c:pt idx="7">
                  <c:v>3.1</c:v>
                </c:pt>
                <c:pt idx="8">
                  <c:v>2.9</c:v>
                </c:pt>
                <c:pt idx="9">
                  <c:v>2.8</c:v>
                </c:pt>
                <c:pt idx="10">
                  <c:v>2.1</c:v>
                </c:pt>
                <c:pt idx="11">
                  <c:v>3.2</c:v>
                </c:pt>
                <c:pt idx="12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6.6455696202531636</c:v>
                </c:pt>
                <c:pt idx="3">
                  <c:v>6.624605678233439</c:v>
                </c:pt>
                <c:pt idx="4">
                  <c:v>5.7142857142857144</c:v>
                </c:pt>
                <c:pt idx="5">
                  <c:v>5.7046979865771812</c:v>
                </c:pt>
                <c:pt idx="6">
                  <c:v>5.28169014084507</c:v>
                </c:pt>
                <c:pt idx="7">
                  <c:v>6.4285714285714279</c:v>
                </c:pt>
                <c:pt idx="8">
                  <c:v>5.3956834532374103</c:v>
                </c:pt>
                <c:pt idx="9">
                  <c:v>7.5</c:v>
                </c:pt>
                <c:pt idx="10">
                  <c:v>6.3197026022304827</c:v>
                </c:pt>
                <c:pt idx="11">
                  <c:v>5.9440559440559442</c:v>
                </c:pt>
                <c:pt idx="12">
                  <c:v>6.1224489795918364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</c:v>
                </c:pt>
                <c:pt idx="11">
                  <c:v>6.73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17</c:v>
                </c:pt>
                <c:pt idx="12">
                  <c:v>23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13</c:v>
                </c:pt>
                <c:pt idx="12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47</c:v>
                </c:pt>
                <c:pt idx="1">
                  <c:v>45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14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1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117</c:v>
                </c:pt>
                <c:pt idx="12">
                  <c:v>317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5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7</c:v>
                </c:pt>
                <c:pt idx="3">
                  <c:v>13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72</c:v>
                </c:pt>
                <c:pt idx="1">
                  <c:v>136</c:v>
                </c:pt>
                <c:pt idx="2">
                  <c:v>141</c:v>
                </c:pt>
                <c:pt idx="3">
                  <c:v>108</c:v>
                </c:pt>
                <c:pt idx="4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781</Words>
  <Characters>6162</Characters>
  <Application>Microsoft Office Word</Application>
  <DocSecurity>0</DocSecurity>
  <Lines>770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6</cp:revision>
  <cp:lastPrinted>2024-12-27T16:07:00Z</cp:lastPrinted>
  <dcterms:created xsi:type="dcterms:W3CDTF">2024-12-30T19:28:00Z</dcterms:created>
  <dcterms:modified xsi:type="dcterms:W3CDTF">2024-12-31T17:08:00Z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