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3D2A1914" w:rsidR="00272295" w:rsidRDefault="002923CF" w:rsidP="00697B1E">
      <w:r>
        <w:t xml:space="preserve">December </w:t>
      </w:r>
      <w:r w:rsidR="00E1357C">
        <w:t>10</w:t>
      </w:r>
      <w:r w:rsidR="00337F3B">
        <w:t>, 202</w:t>
      </w:r>
      <w:r w:rsidR="003E4E12">
        <w:t>4</w:t>
      </w:r>
    </w:p>
    <w:p w14:paraId="4E65E6AD" w14:textId="08217ACD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38717B">
        <w:t>4</w:t>
      </w:r>
      <w:r w:rsidR="00E1357C">
        <w:t>9</w:t>
      </w:r>
      <w:r w:rsidR="00816D7A" w:rsidRPr="00FD1CC0">
        <w:t xml:space="preserve"> (ending </w:t>
      </w:r>
      <w:r w:rsidR="00E1357C">
        <w:t>12</w:t>
      </w:r>
      <w:r w:rsidR="00D37AB5">
        <w:t>/</w:t>
      </w:r>
      <w:r w:rsidR="00E1357C">
        <w:t>07</w:t>
      </w:r>
      <w:r w:rsidR="00337F3B">
        <w:t>/202</w:t>
      </w:r>
      <w:r w:rsidR="00DD414F">
        <w:t>4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75C1C08E" w:rsidR="00673D41" w:rsidRPr="00615AE8" w:rsidRDefault="002923CF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576BFE">
              <w:rPr>
                <w:b/>
                <w:bCs/>
              </w:rPr>
              <w:t>74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5D877971" w:rsidR="00673D41" w:rsidRPr="00F54653" w:rsidRDefault="0066448E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28E948C1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4C7EA856" w:rsidR="005C2BB6" w:rsidRPr="00364EE2" w:rsidRDefault="0077585E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2923CF">
              <w:rPr>
                <w:b/>
                <w:bCs/>
              </w:rPr>
              <w:t>7</w:t>
            </w:r>
            <w:r w:rsidR="00576BFE">
              <w:rPr>
                <w:b/>
                <w:bCs/>
              </w:rPr>
              <w:t>7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17D27AF8" w:rsidR="005C2BB6" w:rsidRPr="00FE11DD" w:rsidRDefault="0024231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2923CF">
              <w:rPr>
                <w:b/>
                <w:bCs/>
              </w:rPr>
              <w:t>33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52C5E0D0" w14:textId="77777777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30D192B4" w:rsidR="00F226A4" w:rsidRPr="005B36F3" w:rsidRDefault="00576BFE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5D7CCEDF" w:rsidR="00F226A4" w:rsidRPr="00FE11DD" w:rsidRDefault="00576BFE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102F3C">
        <w:rPr>
          <w:b/>
          <w:sz w:val="18"/>
          <w:szCs w:val="18"/>
        </w:rPr>
        <w:t>Syndromic Surveillance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17706E58" w:rsidR="00FE11DD" w:rsidRDefault="00616BA0" w:rsidP="00531811">
      <w:pPr>
        <w:jc w:val="center"/>
        <w:rPr>
          <w:b/>
          <w:sz w:val="16"/>
          <w:szCs w:val="16"/>
        </w:rPr>
      </w:pPr>
      <w:r w:rsidRPr="0033391B">
        <w:rPr>
          <w:noProof/>
          <w:sz w:val="20"/>
          <w:szCs w:val="20"/>
        </w:rPr>
        <w:drawing>
          <wp:inline distT="0" distB="0" distL="0" distR="0" wp14:anchorId="4F45D6E5" wp14:editId="4612F723">
            <wp:extent cx="4215384" cy="1901952"/>
            <wp:effectExtent l="0" t="0" r="0" b="3175"/>
            <wp:docPr id="1781196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65269DCA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66D501CA" w:rsidR="00531811" w:rsidRPr="00615AE8" w:rsidRDefault="00D558E1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9.02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0A4D506A" w:rsidR="00531811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18CFB2B1" w:rsidR="00615AE8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7E5DEEBC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0928BC7D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3F3303">
              <w:rPr>
                <w:b/>
              </w:rPr>
              <w:t>4</w:t>
            </w:r>
            <w:r w:rsidR="00E1357C">
              <w:rPr>
                <w:b/>
              </w:rPr>
              <w:t>9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6E150BBE" w:rsidR="00771A38" w:rsidRPr="009B75A7" w:rsidRDefault="00684159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15" w:type="dxa"/>
          </w:tcPr>
          <w:p w14:paraId="583B98F5" w14:textId="6C0B0C94" w:rsidR="00771A38" w:rsidRPr="003D117B" w:rsidRDefault="00684159" w:rsidP="004B40FE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4FF36682" w:rsidR="00771A38" w:rsidRPr="009B75A7" w:rsidRDefault="00684159" w:rsidP="004B40FE">
            <w:pPr>
              <w:jc w:val="center"/>
              <w:rPr>
                <w:bCs/>
              </w:rPr>
            </w:pPr>
            <w:r>
              <w:rPr>
                <w:bCs/>
              </w:rPr>
              <w:t>2 (66.7%)</w:t>
            </w:r>
          </w:p>
        </w:tc>
        <w:tc>
          <w:tcPr>
            <w:tcW w:w="2515" w:type="dxa"/>
          </w:tcPr>
          <w:p w14:paraId="08EF3159" w14:textId="109B9639" w:rsidR="00771A38" w:rsidRPr="003D117B" w:rsidRDefault="00684159" w:rsidP="004B40F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1F0369">
              <w:rPr>
                <w:bCs/>
              </w:rPr>
              <w:t xml:space="preserve"> (4</w:t>
            </w:r>
            <w:r>
              <w:rPr>
                <w:bCs/>
              </w:rPr>
              <w:t>6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1553436F" w:rsidR="00771A38" w:rsidRPr="009B75A7" w:rsidRDefault="00684159" w:rsidP="004B40FE">
            <w:pPr>
              <w:jc w:val="center"/>
              <w:rPr>
                <w:bCs/>
              </w:rPr>
            </w:pPr>
            <w:r>
              <w:rPr>
                <w:bCs/>
              </w:rPr>
              <w:t>2 (100%)</w:t>
            </w:r>
          </w:p>
        </w:tc>
        <w:tc>
          <w:tcPr>
            <w:tcW w:w="2515" w:type="dxa"/>
          </w:tcPr>
          <w:p w14:paraId="0D24C2E1" w14:textId="7BBB1275" w:rsidR="00771A38" w:rsidRPr="003D117B" w:rsidRDefault="00684159" w:rsidP="004B40F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67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205DD29E" w:rsidR="00771A38" w:rsidRPr="009B75A7" w:rsidRDefault="00332059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13E709C4" w14:textId="0A72B179" w:rsidR="00771A38" w:rsidRPr="003D117B" w:rsidRDefault="000D3E33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F0369">
              <w:rPr>
                <w:bCs/>
              </w:rPr>
              <w:t xml:space="preserve"> (</w:t>
            </w:r>
            <w:r w:rsidR="00684159">
              <w:rPr>
                <w:bCs/>
              </w:rPr>
              <w:t>33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274F85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21012191" w14:textId="784D36A2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30CEF3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4535DBC3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0E6DF57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3E3CABDF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290BFAED" w:rsidR="00122779" w:rsidRPr="00102F3C" w:rsidRDefault="00684159" w:rsidP="00684159">
      <w:pPr>
        <w:jc w:val="center"/>
        <w:rPr>
          <w:b/>
          <w:sz w:val="18"/>
          <w:szCs w:val="18"/>
        </w:rPr>
      </w:pPr>
      <w:r w:rsidRPr="00102F3C">
        <w:rPr>
          <w:noProof/>
          <w:sz w:val="18"/>
          <w:szCs w:val="18"/>
        </w:rPr>
        <w:drawing>
          <wp:anchor distT="0" distB="0" distL="114300" distR="114300" simplePos="0" relativeHeight="251685888" behindDoc="1" locked="0" layoutInCell="1" allowOverlap="1" wp14:anchorId="35865A51" wp14:editId="1FFD17AA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3857625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40" y="21427"/>
                <wp:lineTo x="21440" y="0"/>
                <wp:lineTo x="0" y="0"/>
              </wp:wrapPolygon>
            </wp:wrapTight>
            <wp:docPr id="4969648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664E0F7A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4DC7373B" w14:textId="5E241379" w:rsidR="005401F7" w:rsidRDefault="005401F7" w:rsidP="00122779">
      <w:pPr>
        <w:rPr>
          <w:b/>
        </w:rPr>
      </w:pPr>
    </w:p>
    <w:p w14:paraId="1A340A26" w14:textId="7D062A5B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038B4546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4364C1FA" w:rsidR="0025564A" w:rsidRDefault="0025564A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lastRenderedPageBreak/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2ACEC472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3F3303">
              <w:rPr>
                <w:b/>
              </w:rPr>
              <w:t>4</w:t>
            </w:r>
            <w:r w:rsidR="00E1357C">
              <w:rPr>
                <w:b/>
              </w:rPr>
              <w:t>9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098FC76C" w:rsidR="00771A38" w:rsidRPr="009B75A7" w:rsidRDefault="00C030FC" w:rsidP="000C44D2">
            <w:pPr>
              <w:jc w:val="center"/>
              <w:rPr>
                <w:bCs/>
              </w:rPr>
            </w:pPr>
            <w:r>
              <w:rPr>
                <w:bCs/>
              </w:rPr>
              <w:t>981</w:t>
            </w:r>
          </w:p>
        </w:tc>
        <w:tc>
          <w:tcPr>
            <w:tcW w:w="2515" w:type="dxa"/>
          </w:tcPr>
          <w:p w14:paraId="783B27B2" w14:textId="72886186" w:rsidR="00771A38" w:rsidRPr="000C44D2" w:rsidRDefault="00C030FC" w:rsidP="000C44D2">
            <w:pPr>
              <w:jc w:val="center"/>
              <w:rPr>
                <w:bCs/>
              </w:rPr>
            </w:pPr>
            <w:r>
              <w:rPr>
                <w:bCs/>
              </w:rPr>
              <w:t>8,858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7F0AEAA6" w:rsidR="000C44D2" w:rsidRPr="009B75A7" w:rsidRDefault="00C030FC" w:rsidP="000C44D2">
            <w:pPr>
              <w:jc w:val="center"/>
              <w:rPr>
                <w:bCs/>
              </w:rPr>
            </w:pPr>
            <w:r>
              <w:rPr>
                <w:bCs/>
              </w:rPr>
              <w:t>11 (1.12%)</w:t>
            </w:r>
          </w:p>
        </w:tc>
        <w:tc>
          <w:tcPr>
            <w:tcW w:w="2515" w:type="dxa"/>
          </w:tcPr>
          <w:p w14:paraId="04AD303C" w14:textId="7B32F55D" w:rsidR="000C44D2" w:rsidRPr="000C44D2" w:rsidRDefault="00C030FC" w:rsidP="000C44D2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="002435B2">
              <w:rPr>
                <w:bCs/>
              </w:rPr>
              <w:t xml:space="preserve"> (0.</w:t>
            </w:r>
            <w:r>
              <w:rPr>
                <w:bCs/>
              </w:rPr>
              <w:t>34</w:t>
            </w:r>
            <w:r w:rsidR="002435B2">
              <w:rPr>
                <w:bCs/>
              </w:rPr>
              <w:t>%)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7B2E8A47" w:rsidR="000C44D2" w:rsidRPr="009B75A7" w:rsidRDefault="00C030FC" w:rsidP="000C44D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515" w:type="dxa"/>
          </w:tcPr>
          <w:p w14:paraId="7F814D02" w14:textId="05295B81" w:rsidR="000C44D2" w:rsidRPr="000C44D2" w:rsidRDefault="00C030FC" w:rsidP="000C44D2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7E9E36FF" w:rsidR="000C44D2" w:rsidRPr="009B75A7" w:rsidRDefault="00C030FC" w:rsidP="000C44D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3254CD9D" w:rsidR="000C44D2" w:rsidRPr="000C44D2" w:rsidRDefault="00C030FC" w:rsidP="000C44D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4C919777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61B671BD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38717B">
              <w:rPr>
                <w:b/>
              </w:rPr>
              <w:t>4</w:t>
            </w:r>
            <w:r w:rsidR="00E1357C">
              <w:rPr>
                <w:b/>
              </w:rPr>
              <w:t>9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5D52B9B4" w:rsidR="0025564A" w:rsidRPr="009B75A7" w:rsidRDefault="00C030FC" w:rsidP="000C44D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15" w:type="dxa"/>
          </w:tcPr>
          <w:p w14:paraId="615F4E2C" w14:textId="6A253984" w:rsidR="0025564A" w:rsidRPr="004A56EB" w:rsidRDefault="00FB640F" w:rsidP="000C44D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030FC">
              <w:rPr>
                <w:bCs/>
              </w:rPr>
              <w:t>7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4AA5EBC0" w:rsidR="0025564A" w:rsidRPr="009B75A7" w:rsidRDefault="00C030FC" w:rsidP="000C44D2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515" w:type="dxa"/>
          </w:tcPr>
          <w:p w14:paraId="3EC6D09F" w14:textId="5CF49AB0" w:rsidR="0025564A" w:rsidRPr="004A56EB" w:rsidRDefault="00C030FC" w:rsidP="000C44D2">
            <w:pPr>
              <w:jc w:val="center"/>
              <w:rPr>
                <w:bCs/>
              </w:rPr>
            </w:pPr>
            <w:r>
              <w:rPr>
                <w:bCs/>
              </w:rPr>
              <w:t>71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208AC722" w:rsidR="0025564A" w:rsidRPr="009B75A7" w:rsidRDefault="00C030FC" w:rsidP="00FA5E32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FB640F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 w:rsidR="00FB640F">
              <w:rPr>
                <w:bCs/>
              </w:rPr>
              <w:t>83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4EDE81B6" w:rsidR="0025564A" w:rsidRPr="004A56EB" w:rsidRDefault="00A73788" w:rsidP="000C44D2">
            <w:pPr>
              <w:jc w:val="center"/>
              <w:rPr>
                <w:bCs/>
              </w:rPr>
            </w:pPr>
            <w:r>
              <w:rPr>
                <w:bCs/>
              </w:rPr>
              <w:t>86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>
              <w:rPr>
                <w:bCs/>
              </w:rPr>
              <w:t>80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1636D275" w:rsidR="0025564A" w:rsidRPr="009B75A7" w:rsidRDefault="00FB640F" w:rsidP="00FB640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74665">
              <w:rPr>
                <w:bCs/>
              </w:rPr>
              <w:t xml:space="preserve"> </w:t>
            </w:r>
            <w:r w:rsidR="005B36F3" w:rsidRPr="009B75A7">
              <w:rPr>
                <w:bCs/>
              </w:rPr>
              <w:t>(</w:t>
            </w:r>
            <w:r>
              <w:rPr>
                <w:bCs/>
              </w:rPr>
              <w:t>17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614312A9" w:rsidR="0025564A" w:rsidRPr="004A56EB" w:rsidRDefault="00A73788" w:rsidP="000C44D2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 w:rsidR="00FB640F">
              <w:rPr>
                <w:bCs/>
              </w:rPr>
              <w:t>2</w:t>
            </w:r>
            <w:r>
              <w:rPr>
                <w:bCs/>
              </w:rPr>
              <w:t>0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5E1EDF2B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4163A0FD" w:rsidR="00697B1E" w:rsidRPr="00050158" w:rsidRDefault="00C506C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96.3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54A8FF31" w:rsidR="00697B1E" w:rsidRPr="00050158" w:rsidRDefault="00B62A80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74.9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proofErr w:type="gramStart"/>
      <w:r w:rsidR="00697B1E">
        <w:rPr>
          <w:sz w:val="23"/>
          <w:szCs w:val="23"/>
        </w:rPr>
        <w:t>2</w:t>
      </w:r>
      <w:r w:rsidR="00697B1E" w:rsidRPr="00050158">
        <w:rPr>
          <w:sz w:val="23"/>
          <w:szCs w:val="23"/>
        </w:rPr>
        <w:t xml:space="preserve"> </w:t>
      </w:r>
      <w:r w:rsidRPr="00B62A80">
        <w:rPr>
          <w:sz w:val="23"/>
          <w:szCs w:val="23"/>
        </w:rPr>
        <w:t>)</w:t>
      </w:r>
      <w:proofErr w:type="gramEnd"/>
      <w:r w:rsidRPr="00B62A80">
        <w:rPr>
          <w:sz w:val="23"/>
          <w:szCs w:val="23"/>
        </w:rPr>
        <w:t xml:space="preserve"> viruses were well-recognized by ferret antisera raised against the cell-grown A/Massachusetts/18/2022-like reference virus for the season.</w:t>
      </w:r>
    </w:p>
    <w:p w14:paraId="7D9FDD77" w14:textId="1854A393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</w:t>
      </w:r>
      <w:proofErr w:type="gramStart"/>
      <w:r>
        <w:rPr>
          <w:sz w:val="23"/>
          <w:szCs w:val="23"/>
        </w:rPr>
        <w:t xml:space="preserve">of </w:t>
      </w:r>
      <w:r w:rsidR="00754DFC" w:rsidRPr="00FF4310">
        <w:rPr>
          <w:sz w:val="23"/>
          <w:szCs w:val="23"/>
        </w:rPr>
        <w:t xml:space="preserve"> influenza</w:t>
      </w:r>
      <w:proofErr w:type="gramEnd"/>
      <w:r w:rsidR="00754DFC" w:rsidRPr="00FF4310">
        <w:rPr>
          <w:sz w:val="23"/>
          <w:szCs w:val="23"/>
        </w:rPr>
        <w:t xml:space="preserve">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4EC16FBD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38717B">
        <w:rPr>
          <w:b/>
          <w:noProof/>
        </w:rPr>
        <w:t>4</w:t>
      </w:r>
      <w:r w:rsidR="00E1357C">
        <w:rPr>
          <w:b/>
          <w:noProof/>
        </w:rPr>
        <w:t>9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CA4006" w:rsidRPr="002863C0" w14:paraId="203AA38F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030853DD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674806BE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0618DD13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E5BF" w14:textId="01053DB5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59C7FA29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3D403005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5DACFE09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4842E45F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E208" w14:textId="0FC03837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4220CEE3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3FEFB4B4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5427562F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36924A67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3765F" w14:textId="1BFD881A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311B0803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56400367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2DC76F7D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34E84936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00FF" w14:textId="088C74E6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6813F2B4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5E9596AE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2564AEDB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0D2AD3A7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C4585" w14:textId="6F4CD9C6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1A9FB1D3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6176EB02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4064C818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7419EAFB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7E21" w14:textId="5494B34F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70509802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0A4B1344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10C226C3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5C91B132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A1B6" w14:textId="5C406DDF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0BB5CCC4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04F68F40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0AAB892C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450A7818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FAFBD" w14:textId="2C8CF593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13039716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62243AAF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086723F1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585C472E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480F1" w14:textId="77905A67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6E6E3229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5CDC48B6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1636BF7E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5CDEAFAC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F7A29" w14:textId="461D5E1D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3C0D1A53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2F7873CE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05026607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1A41826B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C1A1" w14:textId="58780C5C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moderate</w:t>
            </w:r>
          </w:p>
        </w:tc>
      </w:tr>
      <w:tr w:rsidR="00CA4006" w:rsidRPr="002863C0" w14:paraId="75F3757F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775EBB2E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45B13F07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31572072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B21B" w14:textId="7574E397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39E7D0EC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121C3C11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115324CC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52D80C0E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F38B" w14:textId="237FFAF9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7BA5E65B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0A5DD65E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3FE8CAA9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2BFB7E40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BF8D4" w14:textId="4BE34C16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07C5CFFD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000DD192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653FAECF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78BC359A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7EC02" w14:textId="713FB5D6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3B79B1F9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CA4006" w:rsidRPr="00CA4006" w:rsidRDefault="00CA4006" w:rsidP="00CA4006">
            <w:pPr>
              <w:jc w:val="center"/>
              <w:rPr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471907C1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55598697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1824118F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6086" w14:textId="2938259D" w:rsidR="00CA4006" w:rsidRPr="00CA4006" w:rsidRDefault="00CA4006" w:rsidP="00CA4006">
            <w:pPr>
              <w:jc w:val="center"/>
              <w:rPr>
                <w:color w:val="000000"/>
                <w:sz w:val="22"/>
                <w:szCs w:val="22"/>
              </w:rPr>
            </w:pPr>
            <w:r w:rsidRPr="00CA4006">
              <w:rPr>
                <w:sz w:val="22"/>
                <w:szCs w:val="22"/>
              </w:rPr>
              <w:t>low</w:t>
            </w:r>
          </w:p>
        </w:tc>
      </w:tr>
      <w:tr w:rsidR="00CA4006" w:rsidRPr="002863C0" w14:paraId="0BBB4864" w14:textId="77777777" w:rsidTr="00477339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CA4006" w:rsidRPr="00CA4006" w:rsidRDefault="00CA4006" w:rsidP="00CA4006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325F12F6" w:rsidR="00CA4006" w:rsidRPr="00CA4006" w:rsidRDefault="00CA4006" w:rsidP="00CA4006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7D2D1DA3" w:rsidR="00CA4006" w:rsidRPr="00CA4006" w:rsidRDefault="00CA4006" w:rsidP="00CA4006">
            <w:pPr>
              <w:jc w:val="center"/>
              <w:rPr>
                <w:sz w:val="22"/>
                <w:szCs w:val="22"/>
                <w:highlight w:val="yellow"/>
              </w:rPr>
            </w:pPr>
            <w:r w:rsidRPr="00CA400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497CC9B" w:rsidR="00CA4006" w:rsidRPr="00CA4006" w:rsidRDefault="00CA4006" w:rsidP="00CA4006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1C4FEDA2" w:rsidR="00CA4006" w:rsidRPr="00CA4006" w:rsidRDefault="00CA4006" w:rsidP="00CA4006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2E61F515" w:rsidR="00BD2082" w:rsidRDefault="00D12A64" w:rsidP="00076584">
      <w:pPr>
        <w:ind w:left="540"/>
        <w:rPr>
          <w:b/>
          <w:noProof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F564C73" wp14:editId="38DAB51E">
            <wp:simplePos x="0" y="0"/>
            <wp:positionH relativeFrom="margin">
              <wp:posOffset>3680460</wp:posOffset>
            </wp:positionH>
            <wp:positionV relativeFrom="paragraph">
              <wp:posOffset>213360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584" w:rsidRPr="00076584">
        <w:rPr>
          <w:b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43929CF5" wp14:editId="2E2B45C3">
            <wp:simplePos x="0" y="0"/>
            <wp:positionH relativeFrom="column">
              <wp:posOffset>236220</wp:posOffset>
            </wp:positionH>
            <wp:positionV relativeFrom="paragraph">
              <wp:posOffset>198120</wp:posOffset>
            </wp:positionV>
            <wp:extent cx="3199130" cy="4265930"/>
            <wp:effectExtent l="0" t="0" r="1270" b="1270"/>
            <wp:wrapTight wrapText="bothSides">
              <wp:wrapPolygon edited="0">
                <wp:start x="0" y="0"/>
                <wp:lineTo x="0" y="21510"/>
                <wp:lineTo x="21480" y="21510"/>
                <wp:lineTo x="21480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426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A57">
        <w:rPr>
          <w:b/>
          <w:noProof/>
          <w:sz w:val="20"/>
          <w:szCs w:val="20"/>
        </w:rPr>
        <w:t xml:space="preserve"> </w:t>
      </w:r>
      <w:r w:rsidR="00770445" w:rsidRPr="00CE3A57">
        <w:rPr>
          <w:b/>
          <w:noProof/>
          <w:sz w:val="20"/>
          <w:szCs w:val="20"/>
        </w:rPr>
        <w:t xml:space="preserve">Influenza </w:t>
      </w:r>
      <w:r w:rsidR="00087213" w:rsidRPr="00CE3A57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38717B">
        <w:rPr>
          <w:b/>
          <w:noProof/>
          <w:sz w:val="20"/>
          <w:szCs w:val="20"/>
        </w:rPr>
        <w:t>4</w:t>
      </w:r>
      <w:r w:rsidR="00E1357C">
        <w:rPr>
          <w:b/>
          <w:noProof/>
          <w:sz w:val="20"/>
          <w:szCs w:val="20"/>
        </w:rPr>
        <w:t>9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670637" w:rsidRPr="00CE3A57">
        <w:rPr>
          <w:b/>
          <w:noProof/>
          <w:sz w:val="20"/>
          <w:szCs w:val="20"/>
        </w:rPr>
        <w:t xml:space="preserve">Influenza Severity Estimates, Maine Week  </w:t>
      </w:r>
      <w:r w:rsidR="0038717B">
        <w:rPr>
          <w:b/>
          <w:noProof/>
          <w:sz w:val="20"/>
          <w:szCs w:val="20"/>
        </w:rPr>
        <w:t>4</w:t>
      </w:r>
      <w:r w:rsidR="00E1357C">
        <w:rPr>
          <w:b/>
          <w:noProof/>
          <w:sz w:val="20"/>
          <w:szCs w:val="20"/>
        </w:rPr>
        <w:t>9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1F0369" w:rsidRDefault="007F5A8F" w:rsidP="007F5A8F">
            <w:pPr>
              <w:jc w:val="center"/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1ABCFA3D" w:rsidR="00B62A80" w:rsidRPr="001F0369" w:rsidRDefault="000C4DA8" w:rsidP="007F5A8F">
            <w:pPr>
              <w:jc w:val="center"/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3</w:t>
            </w:r>
            <w:r w:rsidR="00A7378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56" w:type="dxa"/>
          </w:tcPr>
          <w:p w14:paraId="7FF8DFE0" w14:textId="3C3511CD" w:rsidR="00B62A80" w:rsidRPr="001F0369" w:rsidRDefault="007F5A8F" w:rsidP="007F5A8F">
            <w:pPr>
              <w:jc w:val="center"/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88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00570686" w:rsidR="00B62A80" w:rsidRPr="001F0369" w:rsidRDefault="00A7378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5" w:type="dxa"/>
          </w:tcPr>
          <w:p w14:paraId="53EFB153" w14:textId="40E1023C" w:rsidR="00B62A80" w:rsidRPr="001F0369" w:rsidRDefault="00A7378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756" w:type="dxa"/>
          </w:tcPr>
          <w:p w14:paraId="2D728FBA" w14:textId="22C12D64" w:rsidR="00B62A80" w:rsidRPr="001F0369" w:rsidRDefault="00A7378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3AEDBA54" w:rsidR="00B62A80" w:rsidRPr="001F0369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1F0369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885" w:type="dxa"/>
          </w:tcPr>
          <w:p w14:paraId="75F459AB" w14:textId="48F5BCDC" w:rsidR="00B62A80" w:rsidRPr="001F0369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1F0369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56" w:type="dxa"/>
          </w:tcPr>
          <w:p w14:paraId="3A20F241" w14:textId="6326C295" w:rsidR="00B62A80" w:rsidRPr="001F0369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1F0369">
              <w:rPr>
                <w:bCs/>
                <w:sz w:val="22"/>
                <w:szCs w:val="22"/>
              </w:rPr>
              <w:t>NA</w:t>
            </w:r>
          </w:p>
        </w:tc>
      </w:tr>
    </w:tbl>
    <w:p w14:paraId="3255F1EC" w14:textId="4E7D697A" w:rsidR="00B62A80" w:rsidRDefault="00B62A80" w:rsidP="00B62A80">
      <w:pPr>
        <w:rPr>
          <w:b/>
          <w:sz w:val="16"/>
          <w:szCs w:val="16"/>
        </w:rPr>
      </w:pPr>
    </w:p>
    <w:p w14:paraId="1CC775F5" w14:textId="321205E5" w:rsidR="00B62A80" w:rsidRDefault="00B62A80" w:rsidP="00B62A80">
      <w:pPr>
        <w:rPr>
          <w:b/>
          <w:sz w:val="16"/>
          <w:szCs w:val="16"/>
        </w:rPr>
      </w:pPr>
    </w:p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60F73DF7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002FB5E1" w:rsidR="00906328" w:rsidRPr="000870E7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3837D2BC" w:rsidR="00906328" w:rsidRPr="00FE11DD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C007258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57C34" w:rsidRPr="00050158" w14:paraId="436451C8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</w:tcPr>
          <w:p w14:paraId="1A1043FC" w14:textId="64A3FE9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7D0CDB5B" w14:textId="7FAFEDA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noWrap/>
          </w:tcPr>
          <w:p w14:paraId="714836D4" w14:textId="541B328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A6C5E1F" w14:textId="1B3C442F" w:rsidR="009C5AD9" w:rsidRPr="001C7959" w:rsidRDefault="009C5AD9" w:rsidP="00DD41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2A63B5E3" w14:textId="0AA0511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E458B39" w14:textId="6B95D8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CFAE7AA" w14:textId="78045DE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0965C6C" w14:textId="2C9384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BB37664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</w:tcPr>
          <w:p w14:paraId="3EC3AD4A" w14:textId="18FB47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3DBCD9E" w14:textId="63C85E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6C0927" w14:textId="45B2842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5A80698" w14:textId="721091D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6A11BE7F" w14:textId="60DC597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5C600B4" w14:textId="1A0D35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815C8D0" w14:textId="641FCA7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6C5C215" w14:textId="324BFC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2DF0A9C1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</w:tcPr>
          <w:p w14:paraId="45AD8EA6" w14:textId="026B4E5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2E466281" w14:textId="573B91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D3DAD6D" w14:textId="6358973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22332224" w14:textId="4E19D25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1EB17601" w14:textId="6C7BBCC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908BD50" w14:textId="4109411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F535B55" w14:textId="2F71CE2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BE3D1B4" w14:textId="281BD4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48904A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</w:tcPr>
          <w:p w14:paraId="7E47F2FF" w14:textId="3EAE0B5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294217ED" w14:textId="58B4C5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679C992A" w14:textId="741A4CD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DACD7B1" w14:textId="5E73AD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ADB8FAB" w14:textId="54C4A32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4238265" w14:textId="0A335AA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14E0620" w14:textId="7A1692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094DE4A0" w14:textId="4EC224E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625C634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</w:tcPr>
          <w:p w14:paraId="2440135C" w14:textId="4D07347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9337B5A" w14:textId="4C4F55E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70FF7BF" w14:textId="025E88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1AA0423D" w14:textId="1F8DB4B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1119EE90" w14:textId="2C8852C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2AE1B9F8" w14:textId="0987167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0A826A7" w14:textId="3FA978B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DDF9A0D" w14:textId="090DE2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1B896016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</w:tcPr>
          <w:p w14:paraId="34A5ACC9" w14:textId="69A809E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52E26918" w14:textId="3DA1B5F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E6A1E6" w14:textId="1CCF8B4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DDC8C5" w14:textId="00B8E6D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7B6C340F" w14:textId="609370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1162574" w14:textId="7F7FDE6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49A78C50" w14:textId="75D6411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BBEA33E" w14:textId="74C8268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432D02E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</w:tcPr>
          <w:p w14:paraId="7BD80100" w14:textId="6E9107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28AB6932" w14:textId="74EB97E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EF5F55" w14:textId="588FB41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4291440" w14:textId="7285F61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6FAA2F4" w14:textId="26E02C7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84A6454" w14:textId="4C6B89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8F79D65" w14:textId="1BED26C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E5DEBFB" w14:textId="3D7A96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1C4363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</w:tcPr>
          <w:p w14:paraId="0CC6C21E" w14:textId="4CEC454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4011A9E7" w14:textId="20671D8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00AFD4D2" w14:textId="22EBC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841DDB" w14:textId="3BA816C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0B7A42CA" w14:textId="4FD225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6C60F182" w14:textId="144D4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E1DF5EC" w14:textId="3BF7DF5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E703594" w14:textId="22EDAD8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1929971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</w:tcPr>
          <w:p w14:paraId="3BCDA670" w14:textId="347587C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5B76DCD2" w14:textId="743ECA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A023EB9" w14:textId="424F96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432D48A0" w14:textId="70A5FA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B48010F" w14:textId="7FFFF4F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545D7B9B" w14:textId="1AF74F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15BDD60" w14:textId="393B10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C486D36" w14:textId="0256FB6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1025BCC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</w:tcPr>
          <w:p w14:paraId="5F695DDE" w14:textId="1F2BBDC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68430070" w14:textId="0E1164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6D74AD04" w14:textId="3B18D27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301E549C" w14:textId="507C7CE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16A0BCB7" w14:textId="5FD82C7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2F747C5E" w14:textId="43C9E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2D3EB5B" w14:textId="7363C8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6F8C74B" w14:textId="13280BB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67C230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</w:tcPr>
          <w:p w14:paraId="506D0F55" w14:textId="6C1CE34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02F21077" w14:textId="230C3C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1B6E5DE1" w14:textId="4CF269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144080" w14:textId="1891B32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47FB7572" w14:textId="71344C3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4D57580" w14:textId="5BD1EF1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C09763B" w14:textId="58D386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7209A141" w14:textId="5DF7323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D6E4469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</w:tcPr>
          <w:p w14:paraId="7E8EA872" w14:textId="0FC1147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1E10D0F" w14:textId="3358C32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1BEC4CC" w14:textId="31EE39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3E90C9D5" w14:textId="40BCD4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39BD6CE" w14:textId="44114FE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C8C824B" w14:textId="1F60F0E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56F2879" w14:textId="760F637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47090C3" w14:textId="6F4DA6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2DC77D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</w:tcPr>
          <w:p w14:paraId="5F0D61A9" w14:textId="3C97CFC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F688715" w14:textId="71AFD3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0812FFAF" w14:textId="383EF63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5BE781E3" w14:textId="45D64DB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B6ECCD6" w14:textId="49A591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4B512BF" w14:textId="70184B6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19CFD87" w14:textId="10E40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EB72393" w14:textId="10FC09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DCA63C3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</w:tcPr>
          <w:p w14:paraId="66DD2AC9" w14:textId="0954FEF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DBF4D37" w14:textId="7A26D48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3F021BE9" w14:textId="780F5E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EF586D2" w14:textId="11EF61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C420393" w14:textId="22D6D0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B8FFDB6" w14:textId="29DE9F4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E050AC1" w14:textId="71CBCE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27A6D92" w14:textId="3015AF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AA0891B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</w:tcPr>
          <w:p w14:paraId="05CC365C" w14:textId="569A5AC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064E11FC" w14:textId="40D51BA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C14AA9D" w14:textId="48C4A5C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3FE24079" w14:textId="7FE8391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5D02A1C" w14:textId="1E3C05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7DEC714C" w14:textId="78A25B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2C37DD9" w14:textId="118725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0BFD6CE" w14:textId="4B014CE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629B64E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</w:tcPr>
          <w:p w14:paraId="692C34CF" w14:textId="6FABE95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5FF2C6DC" w14:textId="542ABB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FC3C1B5" w14:textId="2C3E673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3EB2A27" w14:textId="292CF4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FBCD523" w14:textId="24D9628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A4977AE" w14:textId="4FDE09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F81317D" w14:textId="3FCD6C9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1A547C1A" w14:textId="0BEEFC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FC49FC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9C5AD9" w:rsidRPr="001C7959" w:rsidRDefault="009C5AD9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7959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</w:tcPr>
          <w:p w14:paraId="332D3CCE" w14:textId="59B0DD4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noWrap/>
          </w:tcPr>
          <w:p w14:paraId="69828353" w14:textId="113824B0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2" w:type="dxa"/>
            <w:noWrap/>
          </w:tcPr>
          <w:p w14:paraId="4EF4F4D9" w14:textId="68FBA1A6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noWrap/>
          </w:tcPr>
          <w:p w14:paraId="2661FFAD" w14:textId="17B46FA2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noWrap/>
          </w:tcPr>
          <w:p w14:paraId="189A5755" w14:textId="0E45673A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14" w:type="dxa"/>
            <w:noWrap/>
          </w:tcPr>
          <w:p w14:paraId="7415164B" w14:textId="3D51663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noWrap/>
          </w:tcPr>
          <w:p w14:paraId="680520D9" w14:textId="7216906C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88" w:type="dxa"/>
            <w:noWrap/>
          </w:tcPr>
          <w:p w14:paraId="27CA0A5D" w14:textId="47D7A3E5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521741D4" w:rsidR="001B651F" w:rsidRDefault="00E2322A" w:rsidP="008F7AB4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35D05B8D" w14:textId="602F135B" w:rsidR="00441EC7" w:rsidRDefault="00441EC7" w:rsidP="00441EC7">
      <w:pPr>
        <w:tabs>
          <w:tab w:val="left" w:pos="5896"/>
        </w:tabs>
      </w:pPr>
    </w:p>
    <w:p w14:paraId="795CBC05" w14:textId="7ED12531" w:rsidR="00A82148" w:rsidRPr="00A82148" w:rsidRDefault="00A82148" w:rsidP="00A82148">
      <w:pPr>
        <w:tabs>
          <w:tab w:val="left" w:pos="5896"/>
        </w:tabs>
        <w:rPr>
          <w:noProof/>
        </w:rPr>
      </w:pPr>
      <w:r w:rsidRPr="00A82148">
        <w:rPr>
          <w:noProof/>
        </w:rPr>
        <w:drawing>
          <wp:inline distT="0" distB="0" distL="0" distR="0" wp14:anchorId="1F64CEC2" wp14:editId="6C8AA524">
            <wp:extent cx="6858000" cy="6310630"/>
            <wp:effectExtent l="0" t="0" r="0" b="0"/>
            <wp:docPr id="1107251766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51766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1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57C34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35"/>
    <w:rsid w:val="00101A77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7075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5229"/>
    <w:rsid w:val="002863C0"/>
    <w:rsid w:val="002909AA"/>
    <w:rsid w:val="0029131D"/>
    <w:rsid w:val="00292357"/>
    <w:rsid w:val="002923CF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0982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68E5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48E"/>
    <w:rsid w:val="00664EA5"/>
    <w:rsid w:val="00670637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72D0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15952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3788"/>
    <w:rsid w:val="00A77E4A"/>
    <w:rsid w:val="00A82148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0295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61635"/>
    <w:rsid w:val="00C630B5"/>
    <w:rsid w:val="00C63D78"/>
    <w:rsid w:val="00C65C97"/>
    <w:rsid w:val="00C66619"/>
    <w:rsid w:val="00C668CA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5949"/>
    <w:rsid w:val="00CA5B44"/>
    <w:rsid w:val="00CA5D96"/>
    <w:rsid w:val="00CA6687"/>
    <w:rsid w:val="00CB0444"/>
    <w:rsid w:val="00CB2701"/>
    <w:rsid w:val="00CB38C5"/>
    <w:rsid w:val="00CB4C64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2D42"/>
    <w:rsid w:val="00D65E51"/>
    <w:rsid w:val="00D66075"/>
    <w:rsid w:val="00D66BDB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93B21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1.24</c:v>
                </c:pt>
                <c:pt idx="2">
                  <c:v>1.44</c:v>
                </c:pt>
                <c:pt idx="3" formatCode="0.00">
                  <c:v>1.57</c:v>
                </c:pt>
                <c:pt idx="4">
                  <c:v>1.71</c:v>
                </c:pt>
                <c:pt idx="5">
                  <c:v>1.6</c:v>
                </c:pt>
                <c:pt idx="6">
                  <c:v>1.41</c:v>
                </c:pt>
                <c:pt idx="7">
                  <c:v>1.62</c:v>
                </c:pt>
                <c:pt idx="8" formatCode="0.00">
                  <c:v>1.38</c:v>
                </c:pt>
                <c:pt idx="9">
                  <c:v>1.74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0.00</c:formatCode>
                <c:ptCount val="33"/>
                <c:pt idx="0">
                  <c:v>1.4348700000000001</c:v>
                </c:pt>
                <c:pt idx="1">
                  <c:v>1.4989699999999999</c:v>
                </c:pt>
                <c:pt idx="2">
                  <c:v>1.73454</c:v>
                </c:pt>
                <c:pt idx="3">
                  <c:v>1.78853</c:v>
                </c:pt>
                <c:pt idx="4">
                  <c:v>1.77695</c:v>
                </c:pt>
                <c:pt idx="5">
                  <c:v>1.78969</c:v>
                </c:pt>
                <c:pt idx="6">
                  <c:v>1.8216399999999999</c:v>
                </c:pt>
                <c:pt idx="7">
                  <c:v>1.89</c:v>
                </c:pt>
                <c:pt idx="8">
                  <c:v>2.08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5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511334170001875"/>
          <c:y val="2.6711185308848081E-2"/>
          <c:w val="0.84676059813101845"/>
          <c:h val="0.57792173307218064"/>
        </c:manualLayout>
      </c:layout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8-4DD9-A625-6D59D60F0D90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Syndromic!$B$5:$AH$5</c:f>
              <c:numCache>
                <c:formatCode>General</c:formatCode>
                <c:ptCount val="33"/>
                <c:pt idx="0">
                  <c:v>2.8</c:v>
                </c:pt>
                <c:pt idx="1">
                  <c:v>2.6</c:v>
                </c:pt>
                <c:pt idx="2">
                  <c:v>2.9</c:v>
                </c:pt>
                <c:pt idx="3">
                  <c:v>2.9</c:v>
                </c:pt>
                <c:pt idx="4">
                  <c:v>2.4</c:v>
                </c:pt>
                <c:pt idx="5">
                  <c:v>2.7</c:v>
                </c:pt>
                <c:pt idx="6">
                  <c:v>2.2999999999999998</c:v>
                </c:pt>
                <c:pt idx="7">
                  <c:v>3.1</c:v>
                </c:pt>
                <c:pt idx="8">
                  <c:v>2.9</c:v>
                </c:pt>
                <c:pt idx="9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E8-4DD9-A625-6D59D60F0D90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E8-4DD9-A625-6D59D60F0D90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E8-4DD9-A625-6D59D60F0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3131979322108693"/>
              <c:y val="0.7236312489319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167825641160459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4.4217687074829932</c:v>
                </c:pt>
                <c:pt idx="1">
                  <c:v>8.3333333333333321</c:v>
                </c:pt>
                <c:pt idx="2">
                  <c:v>6.7307692307692308</c:v>
                </c:pt>
                <c:pt idx="3">
                  <c:v>6.7741935483870979</c:v>
                </c:pt>
                <c:pt idx="4">
                  <c:v>5.9210526315789469</c:v>
                </c:pt>
                <c:pt idx="5">
                  <c:v>5.8419243986254292</c:v>
                </c:pt>
                <c:pt idx="6">
                  <c:v>5.4545454545454541</c:v>
                </c:pt>
                <c:pt idx="7">
                  <c:v>6.7924528301886795</c:v>
                </c:pt>
                <c:pt idx="8">
                  <c:v>5.4263565891472867</c:v>
                </c:pt>
                <c:pt idx="9">
                  <c:v>9.0225563909774422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5.53</c:v>
                </c:pt>
                <c:pt idx="8">
                  <c:v>5.45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993208627339957"/>
          <c:h val="0.5122985826771653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1BA-46FA-92A9-AEA34C2B1429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1BA-46FA-92A9-AEA34C2B1429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51BA-46FA-92A9-AEA34C2B1429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51BA-46FA-92A9-AEA34C2B1429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51BA-46FA-92A9-AEA34C2B1429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51BA-46FA-92A9-AEA34C2B1429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51BA-46FA-92A9-AEA34C2B14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51BA-46FA-92A9-AEA34C2B1429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593281064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654742231295152E-2"/>
          <c:y val="0.75547296587926516"/>
          <c:w val="0.87972822814445006"/>
          <c:h val="0.213325774278215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15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7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50"/>
          <c:min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13</c:v>
                </c:pt>
                <c:pt idx="1">
                  <c:v>33</c:v>
                </c:pt>
                <c:pt idx="2">
                  <c:v>23</c:v>
                </c:pt>
                <c:pt idx="3">
                  <c:v>17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768</Words>
  <Characters>4850</Characters>
  <Application>Microsoft Office Word</Application>
  <DocSecurity>0</DocSecurity>
  <Lines>576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Manchester, Chloe</cp:lastModifiedBy>
  <cp:revision>15</cp:revision>
  <cp:lastPrinted>2024-10-08T21:14:00Z</cp:lastPrinted>
  <dcterms:created xsi:type="dcterms:W3CDTF">2024-12-09T16:20:00Z</dcterms:created>
  <dcterms:modified xsi:type="dcterms:W3CDTF">2024-12-10T22:09:00Z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