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BB10B53" w:rsidR="00272295" w:rsidRDefault="002923CF" w:rsidP="00697B1E">
      <w:r>
        <w:t>December 3</w:t>
      </w:r>
      <w:r w:rsidR="00337F3B">
        <w:t>, 202</w:t>
      </w:r>
      <w:r w:rsidR="003E4E12">
        <w:t>4</w:t>
      </w:r>
    </w:p>
    <w:p w14:paraId="4E65E6AD" w14:textId="1CBDA56C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38717B">
        <w:t>4</w:t>
      </w:r>
      <w:r w:rsidR="002923CF">
        <w:t>8</w:t>
      </w:r>
      <w:r w:rsidR="00816D7A" w:rsidRPr="00FD1CC0">
        <w:t xml:space="preserve"> (ending </w:t>
      </w:r>
      <w:r w:rsidR="00716AAE">
        <w:t>1</w:t>
      </w:r>
      <w:r w:rsidR="00AA0295">
        <w:t>1</w:t>
      </w:r>
      <w:r w:rsidR="00D37AB5">
        <w:t>/</w:t>
      </w:r>
      <w:r w:rsidR="002923CF">
        <w:t>30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52453F9" w:rsidR="00673D41" w:rsidRPr="00615AE8" w:rsidRDefault="002923CF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1.60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376D151" w:rsidR="00673D41" w:rsidRPr="00F54653" w:rsidRDefault="003F3303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38479D7A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3126C67E" w:rsidR="005C2BB6" w:rsidRPr="00364EE2" w:rsidRDefault="0077585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2923CF">
              <w:rPr>
                <w:b/>
                <w:bCs/>
              </w:rPr>
              <w:t>72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7D27AF8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2923CF">
              <w:rPr>
                <w:b/>
                <w:bCs/>
              </w:rPr>
              <w:t>33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6E3A0FA8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6EB7A489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2C0D752E" w:rsidR="00531811" w:rsidRPr="00615AE8" w:rsidRDefault="002923C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4.76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0C43C29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2BDF0AA9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2923CF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0531EFA0" w:rsidR="00771A38" w:rsidRPr="009B75A7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583B98F5" w14:textId="47D42215" w:rsidR="00771A38" w:rsidRPr="003D117B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2B25AD1F" w:rsidR="00771A38" w:rsidRPr="009B75A7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8EF3159" w14:textId="0B399A68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F0369">
              <w:rPr>
                <w:bCs/>
              </w:rPr>
              <w:t xml:space="preserve"> (40%)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15D053B" w:rsidR="00771A38" w:rsidRPr="009B75A7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D24C2E1" w14:textId="4BA28B92" w:rsidR="00771A38" w:rsidRPr="003D117B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0369">
              <w:rPr>
                <w:bCs/>
              </w:rPr>
              <w:t xml:space="preserve"> (50%)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05DD29E" w:rsidR="00771A38" w:rsidRPr="009B75A7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13E709C4" w14:textId="0EDBB79A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0369">
              <w:rPr>
                <w:bCs/>
              </w:rPr>
              <w:t xml:space="preserve"> (50%)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DC1B29F" w:rsidR="00122779" w:rsidRPr="00050158" w:rsidRDefault="005F7772" w:rsidP="00DA1742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E3EB713" wp14:editId="10300023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122779" w:rsidRPr="006E5BC1">
        <w:rPr>
          <w:b/>
          <w:sz w:val="16"/>
          <w:szCs w:val="16"/>
        </w:rPr>
        <w:t>Influenza</w:t>
      </w:r>
      <w:r w:rsidR="00122779" w:rsidRPr="00050158">
        <w:rPr>
          <w:b/>
          <w:sz w:val="16"/>
          <w:szCs w:val="16"/>
        </w:rPr>
        <w:t xml:space="preserve"> Positive PCR </w:t>
      </w:r>
      <w:r w:rsidR="00122779">
        <w:rPr>
          <w:b/>
          <w:sz w:val="16"/>
          <w:szCs w:val="16"/>
        </w:rPr>
        <w:t>Tests</w:t>
      </w:r>
      <w:r w:rsidR="00122779" w:rsidRPr="00050158">
        <w:rPr>
          <w:b/>
          <w:sz w:val="16"/>
          <w:szCs w:val="16"/>
        </w:rPr>
        <w:t>, HETL – Maine, 20</w:t>
      </w:r>
      <w:r w:rsidR="00122779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122779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2FCD2338" w:rsidR="005401F7" w:rsidRDefault="00300033" w:rsidP="00122779">
      <w:pPr>
        <w:rPr>
          <w:b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D1F11EA" wp14:editId="7CBCDBAE">
            <wp:simplePos x="0" y="0"/>
            <wp:positionH relativeFrom="column">
              <wp:posOffset>53340</wp:posOffset>
            </wp:positionH>
            <wp:positionV relativeFrom="paragraph">
              <wp:posOffset>184785</wp:posOffset>
            </wp:positionV>
            <wp:extent cx="3756660" cy="2078355"/>
            <wp:effectExtent l="0" t="0" r="0" b="0"/>
            <wp:wrapTight wrapText="bothSides">
              <wp:wrapPolygon edited="0">
                <wp:start x="0" y="0"/>
                <wp:lineTo x="0" y="21382"/>
                <wp:lineTo x="21469" y="21382"/>
                <wp:lineTo x="21469" y="0"/>
                <wp:lineTo x="0" y="0"/>
              </wp:wrapPolygon>
            </wp:wrapTight>
            <wp:docPr id="17607385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</w:p>
    <w:p w14:paraId="1A340A26" w14:textId="42C58D5E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069EB433" w:rsidR="0025564A" w:rsidRDefault="0025564A" w:rsidP="00730950">
      <w:pPr>
        <w:rPr>
          <w:b/>
        </w:rPr>
      </w:pPr>
    </w:p>
    <w:p w14:paraId="579BC8D7" w14:textId="134A2031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</w:p>
    <w:p w14:paraId="270A32BB" w14:textId="487E3CD2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0FB4F434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D8AC24" w14:textId="77777777" w:rsidR="00097393" w:rsidRDefault="00097393" w:rsidP="00122779">
      <w:pPr>
        <w:rPr>
          <w:b/>
        </w:rPr>
      </w:pPr>
    </w:p>
    <w:p w14:paraId="6AAAFEFB" w14:textId="77777777" w:rsidR="00300033" w:rsidRDefault="00300033" w:rsidP="00122779">
      <w:pPr>
        <w:rPr>
          <w:b/>
        </w:rPr>
      </w:pPr>
    </w:p>
    <w:p w14:paraId="7FED3AA0" w14:textId="77777777" w:rsidR="00300033" w:rsidRDefault="00300033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3414CEA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2923CF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2EBDA2F" w:rsidR="00771A38" w:rsidRPr="009B75A7" w:rsidRDefault="00101A35" w:rsidP="000C44D2">
            <w:pPr>
              <w:jc w:val="center"/>
              <w:rPr>
                <w:bCs/>
              </w:rPr>
            </w:pPr>
            <w:r>
              <w:rPr>
                <w:bCs/>
              </w:rPr>
              <w:t>869</w:t>
            </w:r>
          </w:p>
        </w:tc>
        <w:tc>
          <w:tcPr>
            <w:tcW w:w="2515" w:type="dxa"/>
          </w:tcPr>
          <w:p w14:paraId="783B27B2" w14:textId="1991494B" w:rsidR="00771A38" w:rsidRPr="000C44D2" w:rsidRDefault="00101A35" w:rsidP="000C44D2">
            <w:pPr>
              <w:jc w:val="center"/>
              <w:rPr>
                <w:bCs/>
              </w:rPr>
            </w:pPr>
            <w:r>
              <w:rPr>
                <w:bCs/>
              </w:rPr>
              <w:t>7,977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72C0E4F1" w:rsidR="000C44D2" w:rsidRPr="009B75A7" w:rsidRDefault="00101A3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4AD303C" w14:textId="31317689" w:rsidR="000C44D2" w:rsidRPr="000C44D2" w:rsidRDefault="00101A35" w:rsidP="000C44D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2435B2">
              <w:rPr>
                <w:bCs/>
              </w:rPr>
              <w:t xml:space="preserve"> (0.</w:t>
            </w:r>
            <w:r w:rsidR="0038717B">
              <w:rPr>
                <w:bCs/>
              </w:rPr>
              <w:t>27</w:t>
            </w:r>
            <w:r w:rsidR="002435B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60BDB166" w:rsidR="000C44D2" w:rsidRPr="009B75A7" w:rsidRDefault="00101A3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F814D02" w14:textId="4491B937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717B">
              <w:rPr>
                <w:bCs/>
              </w:rPr>
              <w:t>9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F874E24" w:rsidR="000C44D2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55813902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19D2BC0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1CEB4B6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38717B">
              <w:rPr>
                <w:b/>
              </w:rPr>
              <w:t>4</w:t>
            </w:r>
            <w:r w:rsidR="002923CF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4E11DA7" w:rsidR="0025564A" w:rsidRPr="009B75A7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615F4E2C" w14:textId="3F9DD85D" w:rsidR="0025564A" w:rsidRPr="004A56EB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B515CE2" w:rsidR="0025564A" w:rsidRPr="009B75A7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515" w:type="dxa"/>
          </w:tcPr>
          <w:p w14:paraId="3EC6D09F" w14:textId="6E4BDBF8" w:rsidR="0025564A" w:rsidRPr="004A56EB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5D22C8E4" w:rsidR="0025564A" w:rsidRPr="009B75A7" w:rsidRDefault="00FB640F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15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83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5022E7FD" w:rsidR="0025564A" w:rsidRPr="004A56EB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78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1636D275" w:rsidR="0025564A" w:rsidRPr="009B75A7" w:rsidRDefault="00FB640F" w:rsidP="00FB640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74665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17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02236B7E" w:rsidR="0025564A" w:rsidRPr="004A56EB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717B">
              <w:rPr>
                <w:bCs/>
              </w:rPr>
              <w:t>0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FB640F">
              <w:rPr>
                <w:bCs/>
              </w:rPr>
              <w:t>22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C4952E0" w14:textId="77777777" w:rsidR="00A93A27" w:rsidRDefault="00216690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7EE99A9" wp14:editId="23DF6BDC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proofErr w:type="gramStart"/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</w:t>
      </w:r>
      <w:proofErr w:type="gramEnd"/>
      <w:r w:rsidRPr="00B62A80">
        <w:rPr>
          <w:sz w:val="23"/>
          <w:szCs w:val="23"/>
        </w:rPr>
        <w:t xml:space="preserve">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</w:t>
      </w:r>
      <w:proofErr w:type="gramStart"/>
      <w:r>
        <w:rPr>
          <w:sz w:val="23"/>
          <w:szCs w:val="23"/>
        </w:rPr>
        <w:t xml:space="preserve">of </w:t>
      </w:r>
      <w:r w:rsidR="00754DFC" w:rsidRPr="00FF4310">
        <w:rPr>
          <w:sz w:val="23"/>
          <w:szCs w:val="23"/>
        </w:rPr>
        <w:t xml:space="preserve"> influenza</w:t>
      </w:r>
      <w:proofErr w:type="gramEnd"/>
      <w:r w:rsidR="00754DFC" w:rsidRPr="00FF4310">
        <w:rPr>
          <w:sz w:val="23"/>
          <w:szCs w:val="23"/>
        </w:rPr>
        <w:t xml:space="preserve">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10F4E5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38717B">
        <w:rPr>
          <w:b/>
          <w:noProof/>
        </w:rPr>
        <w:t>4</w:t>
      </w:r>
      <w:r w:rsidR="002923CF">
        <w:rPr>
          <w:b/>
          <w:noProof/>
        </w:rPr>
        <w:t>8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300033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300033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300033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>H</w:t>
            </w:r>
            <w:r w:rsidR="004A43D7" w:rsidRPr="00300033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300033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>Activity</w:t>
            </w:r>
            <w:r w:rsidR="00876776" w:rsidRPr="00300033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300033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300033">
              <w:rPr>
                <w:b/>
                <w:bCs/>
                <w:sz w:val="22"/>
                <w:szCs w:val="22"/>
              </w:rPr>
              <w:t>Estimate</w:t>
            </w:r>
            <w:r w:rsidR="007E4790" w:rsidRPr="00300033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300033" w:rsidRPr="002863C0" w14:paraId="203AA38F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4B2E" w14:textId="768DC637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62687E8E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59C7FA29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3625" w14:textId="10281F4F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75992E50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4220CEE3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EE4" w14:textId="08559815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67AC012C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311B0803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0835" w14:textId="6DFC4FE9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777E52CB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73FEC82A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6813F2B4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D104" w14:textId="27DE80B0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2D3B6C57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1A9FB1D3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FA1FF" w14:textId="5B2D0ED2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0F3928C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404AD938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70509802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EF61" w14:textId="5ADF6238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3A6C411B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611BD996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0BB5CCC4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5D73" w14:textId="7C94EB0B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38A8357E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13039716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9F05" w14:textId="3311ABBA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785E3610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5E94E7C1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6E6E3229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1625" w14:textId="3C0C165F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702F83FF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7A2EBB8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3C0D1A53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7F93F" w14:textId="736F63B2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41764AB5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78E1A835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75F3757F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6D73" w14:textId="141EF644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45821D1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1E1F48A4" w:rsidR="00300033" w:rsidRPr="00300033" w:rsidRDefault="001F0369" w:rsidP="003000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00033" w:rsidRPr="00300033">
              <w:rPr>
                <w:sz w:val="22"/>
                <w:szCs w:val="22"/>
              </w:rPr>
              <w:t>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39E7D0EC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8871" w14:textId="0AD348C2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23CEB2C8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CF2BB61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7BA5E65B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1A488" w14:textId="5EA50974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76982F1C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07C5CFFD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C74" w14:textId="53818851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05809670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3B79B1F9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300033" w:rsidRPr="00300033" w:rsidRDefault="00300033" w:rsidP="00300033">
            <w:pPr>
              <w:jc w:val="center"/>
              <w:rPr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E8D7" w14:textId="52B234ED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00AB4603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300033" w:rsidRPr="00300033" w:rsidRDefault="00300033" w:rsidP="00300033">
            <w:pPr>
              <w:jc w:val="center"/>
              <w:rPr>
                <w:color w:val="000000"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low</w:t>
            </w:r>
          </w:p>
        </w:tc>
      </w:tr>
      <w:tr w:rsidR="00300033" w:rsidRPr="002863C0" w14:paraId="0BBB4864" w14:textId="77777777" w:rsidTr="00296C1F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300033" w:rsidRPr="00300033" w:rsidRDefault="00300033" w:rsidP="00300033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4BF6" w14:textId="7577937E" w:rsidR="00300033" w:rsidRPr="00300033" w:rsidRDefault="00300033" w:rsidP="0030003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300033">
              <w:rPr>
                <w:sz w:val="22"/>
                <w:szCs w:val="22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300033" w:rsidRPr="00300033" w:rsidRDefault="00300033" w:rsidP="00300033">
            <w:pPr>
              <w:jc w:val="center"/>
              <w:rPr>
                <w:sz w:val="22"/>
                <w:szCs w:val="22"/>
                <w:highlight w:val="yellow"/>
              </w:rPr>
            </w:pPr>
            <w:r w:rsidRPr="0030003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300033" w:rsidRPr="00300033" w:rsidRDefault="00300033" w:rsidP="00300033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300033" w:rsidRPr="00300033" w:rsidRDefault="00300033" w:rsidP="00300033">
            <w:pPr>
              <w:jc w:val="center"/>
              <w:rPr>
                <w:b/>
                <w:bCs/>
                <w:sz w:val="22"/>
                <w:szCs w:val="22"/>
              </w:rPr>
            </w:pPr>
            <w:r w:rsidRPr="0030003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</w:p>
    <w:p w14:paraId="1B6B9EF3" w14:textId="75941FC2" w:rsidR="00BD2082" w:rsidRDefault="00076584" w:rsidP="00076584">
      <w:pPr>
        <w:ind w:left="540"/>
        <w:rPr>
          <w:b/>
          <w:noProof/>
          <w:sz w:val="20"/>
          <w:szCs w:val="20"/>
        </w:rPr>
      </w:pPr>
      <w:r w:rsidRPr="00076584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761B0F45">
            <wp:simplePos x="0" y="0"/>
            <wp:positionH relativeFrom="column">
              <wp:posOffset>236220</wp:posOffset>
            </wp:positionH>
            <wp:positionV relativeFrom="paragraph">
              <wp:posOffset>198120</wp:posOffset>
            </wp:positionV>
            <wp:extent cx="3200400" cy="4265930"/>
            <wp:effectExtent l="0" t="0" r="0" b="1270"/>
            <wp:wrapTight wrapText="bothSides">
              <wp:wrapPolygon edited="0">
                <wp:start x="0" y="0"/>
                <wp:lineTo x="0" y="21510"/>
                <wp:lineTo x="21471" y="21510"/>
                <wp:lineTo x="21471" y="0"/>
                <wp:lineTo x="0" y="0"/>
              </wp:wrapPolygon>
            </wp:wrapTight>
            <wp:docPr id="1091954225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8717B">
        <w:rPr>
          <w:b/>
          <w:noProof/>
          <w:sz w:val="20"/>
          <w:szCs w:val="20"/>
        </w:rPr>
        <w:t>4</w:t>
      </w:r>
      <w:r w:rsidR="002923CF">
        <w:rPr>
          <w:b/>
          <w:noProof/>
          <w:sz w:val="20"/>
          <w:szCs w:val="20"/>
        </w:rPr>
        <w:t>8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2933CC93">
            <wp:simplePos x="0" y="0"/>
            <wp:positionH relativeFrom="margin">
              <wp:posOffset>3680460</wp:posOffset>
            </wp:positionH>
            <wp:positionV relativeFrom="paragraph">
              <wp:posOffset>214630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 descr="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38717B">
        <w:rPr>
          <w:b/>
          <w:noProof/>
          <w:sz w:val="20"/>
          <w:szCs w:val="20"/>
        </w:rPr>
        <w:t>4</w:t>
      </w:r>
      <w:r w:rsidR="002923CF">
        <w:rPr>
          <w:b/>
          <w:noProof/>
          <w:sz w:val="20"/>
          <w:szCs w:val="20"/>
        </w:rPr>
        <w:t>8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1F0369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3C87BC56" w:rsidR="00B62A80" w:rsidRPr="001F0369" w:rsidRDefault="000C4DA8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56" w:type="dxa"/>
          </w:tcPr>
          <w:p w14:paraId="7FF8DFE0" w14:textId="3C3511CD" w:rsidR="00B62A80" w:rsidRPr="001F0369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88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08137F2C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885" w:type="dxa"/>
          </w:tcPr>
          <w:p w14:paraId="53EFB153" w14:textId="3DB2488B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56" w:type="dxa"/>
          </w:tcPr>
          <w:p w14:paraId="2D728FBA" w14:textId="2350AE07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3AEDBA54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885" w:type="dxa"/>
          </w:tcPr>
          <w:p w14:paraId="75F459AB" w14:textId="48F5BCDC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56" w:type="dxa"/>
          </w:tcPr>
          <w:p w14:paraId="3A20F241" w14:textId="6326C295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</w:tr>
    </w:tbl>
    <w:p w14:paraId="3255F1EC" w14:textId="4E7D697A" w:rsidR="00B62A80" w:rsidRDefault="00B62A80" w:rsidP="00B62A80">
      <w:pPr>
        <w:rPr>
          <w:b/>
          <w:sz w:val="16"/>
          <w:szCs w:val="16"/>
        </w:rPr>
      </w:pPr>
    </w:p>
    <w:p w14:paraId="1CC775F5" w14:textId="321205E5" w:rsidR="00B62A80" w:rsidRDefault="00B62A80" w:rsidP="00B62A80">
      <w:pPr>
        <w:rPr>
          <w:b/>
          <w:sz w:val="16"/>
          <w:szCs w:val="16"/>
        </w:rPr>
      </w:pP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6E3EA22D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noWrap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noWrap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noWrap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68C8892B" w14:textId="5EA5BD13" w:rsidR="002923CF" w:rsidRPr="002923CF" w:rsidRDefault="002923CF" w:rsidP="002923CF">
      <w:pPr>
        <w:tabs>
          <w:tab w:val="left" w:pos="5896"/>
        </w:tabs>
        <w:rPr>
          <w:noProof/>
        </w:rPr>
      </w:pPr>
      <w:r w:rsidRPr="002923CF">
        <w:rPr>
          <w:noProof/>
        </w:rPr>
        <w:drawing>
          <wp:inline distT="0" distB="0" distL="0" distR="0" wp14:anchorId="4C18A6EC" wp14:editId="6EA8CDE8">
            <wp:extent cx="6858000" cy="6339205"/>
            <wp:effectExtent l="0" t="0" r="0" b="4445"/>
            <wp:docPr id="1555300214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00214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23CF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57073915843991951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1.6</c:v>
                </c:pt>
                <c:pt idx="6">
                  <c:v>1.41</c:v>
                </c:pt>
                <c:pt idx="7">
                  <c:v>1.62</c:v>
                </c:pt>
                <c:pt idx="8" formatCode="0.00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0.00</c:formatCode>
                <c:ptCount val="33"/>
                <c:pt idx="0">
                  <c:v>1.4348700000000001</c:v>
                </c:pt>
                <c:pt idx="1">
                  <c:v>1.4989699999999999</c:v>
                </c:pt>
                <c:pt idx="2">
                  <c:v>1.73454</c:v>
                </c:pt>
                <c:pt idx="3">
                  <c:v>1.78853</c:v>
                </c:pt>
                <c:pt idx="4">
                  <c:v>1.77695</c:v>
                </c:pt>
                <c:pt idx="5">
                  <c:v>1.78969</c:v>
                </c:pt>
                <c:pt idx="6">
                  <c:v>1.8216399999999999</c:v>
                </c:pt>
                <c:pt idx="7">
                  <c:v>1.8963000000000001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615307238448161E-2"/>
          <c:y val="0.8621945173519977"/>
          <c:w val="0.91938469276155199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1.87</c:v>
                </c:pt>
                <c:pt idx="8">
                  <c:v>1.72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  <c:pt idx="8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4.4368600682593859</c:v>
                </c:pt>
                <c:pt idx="1">
                  <c:v>8.3916083916083917</c:v>
                </c:pt>
                <c:pt idx="2">
                  <c:v>6.9767441860465116</c:v>
                </c:pt>
                <c:pt idx="3">
                  <c:v>7.0469798657718119</c:v>
                </c:pt>
                <c:pt idx="4">
                  <c:v>6.0200668896321075</c:v>
                </c:pt>
                <c:pt idx="5">
                  <c:v>5.8823529411764701</c:v>
                </c:pt>
                <c:pt idx="6">
                  <c:v>5.5350553505535052</c:v>
                </c:pt>
                <c:pt idx="7">
                  <c:v>6.9105691056910574</c:v>
                </c:pt>
                <c:pt idx="8">
                  <c:v>4.7619047619047619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5.4900181488203268</c:v>
                </c:pt>
                <c:pt idx="7">
                  <c:v>5.5220017256255396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8-405D-8DF2-386702F7941E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C8-405D-8DF2-386702F7941E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C8-405D-8DF2-386702F7941E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C8-405D-8DF2-386702F7941E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2CC8-405D-8DF2-386702F7941E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2CC8-405D-8DF2-386702F7941E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C8-405D-8DF2-386702F794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2CC8-405D-8DF2-386702F7941E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4</c:v>
                </c:pt>
                <c:pt idx="7">
                  <c:v>12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9</c:v>
                </c:pt>
                <c:pt idx="1">
                  <c:v>18</c:v>
                </c:pt>
                <c:pt idx="2">
                  <c:v>21</c:v>
                </c:pt>
                <c:pt idx="3">
                  <c:v>16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764</Words>
  <Characters>6037</Characters>
  <Application>Microsoft Office Word</Application>
  <DocSecurity>0</DocSecurity>
  <Lines>754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10</cp:revision>
  <cp:lastPrinted>2024-10-08T21:14:00Z</cp:lastPrinted>
  <dcterms:created xsi:type="dcterms:W3CDTF">2024-12-03T21:08:00Z</dcterms:created>
  <dcterms:modified xsi:type="dcterms:W3CDTF">2024-12-03T23:56:00Z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