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0CAE49C4" w:rsidR="00272295" w:rsidRDefault="00AA0295" w:rsidP="00697B1E">
      <w:r>
        <w:t xml:space="preserve">November </w:t>
      </w:r>
      <w:r w:rsidR="0038717B">
        <w:t>26</w:t>
      </w:r>
      <w:r w:rsidR="00337F3B">
        <w:t>, 202</w:t>
      </w:r>
      <w:r w:rsidR="003E4E12">
        <w:t>4</w:t>
      </w:r>
    </w:p>
    <w:p w14:paraId="4E65E6AD" w14:textId="5A5E67ED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38717B">
        <w:t>47</w:t>
      </w:r>
      <w:r w:rsidR="00816D7A" w:rsidRPr="00FD1CC0">
        <w:t xml:space="preserve"> (ending </w:t>
      </w:r>
      <w:r w:rsidR="00716AAE">
        <w:t>1</w:t>
      </w:r>
      <w:r w:rsidR="00AA0295">
        <w:t>1</w:t>
      </w:r>
      <w:r w:rsidR="00D37AB5">
        <w:t>/</w:t>
      </w:r>
      <w:r w:rsidR="0038717B">
        <w:t>23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32D1A6DE" w:rsidR="00673D41" w:rsidRPr="00615AE8" w:rsidRDefault="00F5637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38717B">
              <w:rPr>
                <w:b/>
                <w:bCs/>
              </w:rPr>
              <w:t>68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4376D151" w:rsidR="00673D41" w:rsidRPr="00F54653" w:rsidRDefault="003F3303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2FFB569C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3B473BF2" w:rsidR="005C2BB6" w:rsidRPr="00364EE2" w:rsidRDefault="0077585E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  <w:r w:rsidR="0038717B">
              <w:rPr>
                <w:b/>
                <w:bCs/>
              </w:rPr>
              <w:t>5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38CC0380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38717B">
              <w:rPr>
                <w:b/>
                <w:bCs/>
              </w:rPr>
              <w:t>16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05AF28DC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2BBF2DDB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2EE21B5C" w:rsidR="00531811" w:rsidRPr="00615AE8" w:rsidRDefault="0022523B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38717B">
              <w:rPr>
                <w:b/>
                <w:bCs/>
              </w:rPr>
              <w:t>83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604EEB4C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B279886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22523B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70407C66" w:rsidR="00771A38" w:rsidRPr="009B75A7" w:rsidRDefault="0022523B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583B98F5" w14:textId="40AA8E97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5D43F97" w:rsidR="00771A38" w:rsidRPr="009B75A7" w:rsidRDefault="0022523B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08EF3159" w14:textId="5EB54506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584AA48C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07EFC05A" w:rsidR="00771A38" w:rsidRPr="009B75A7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D24C2E1" w14:textId="06B4BD1B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A2D192E" w:rsidR="00771A38" w:rsidRPr="009B75A7" w:rsidRDefault="0022523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13E709C4" w14:textId="26462DAE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2BC24E82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650356DC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47F3E277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38717B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1897719E" w:rsidR="00771A38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38717B">
              <w:rPr>
                <w:bCs/>
              </w:rPr>
              <w:t>71</w:t>
            </w:r>
          </w:p>
        </w:tc>
        <w:tc>
          <w:tcPr>
            <w:tcW w:w="2515" w:type="dxa"/>
          </w:tcPr>
          <w:p w14:paraId="783B27B2" w14:textId="23FC3190" w:rsidR="00771A38" w:rsidRPr="000C44D2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7108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7F54FDF9" w:rsidR="000C44D2" w:rsidRPr="009B75A7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D3E33">
              <w:rPr>
                <w:bCs/>
              </w:rPr>
              <w:t>(0.</w:t>
            </w:r>
            <w:r>
              <w:rPr>
                <w:bCs/>
              </w:rPr>
              <w:t>10</w:t>
            </w:r>
            <w:r w:rsidR="000D3E33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2F2DB3E3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717B">
              <w:rPr>
                <w:bCs/>
              </w:rPr>
              <w:t>9</w:t>
            </w:r>
            <w:r w:rsidR="002435B2">
              <w:rPr>
                <w:bCs/>
              </w:rPr>
              <w:t xml:space="preserve"> (0.</w:t>
            </w:r>
            <w:r w:rsidR="0038717B">
              <w:rPr>
                <w:bCs/>
              </w:rPr>
              <w:t>27</w:t>
            </w:r>
            <w:r w:rsidR="002435B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6FD699E1" w:rsidR="000C44D2" w:rsidRPr="009B75A7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7F814D02" w14:textId="4491B937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717B">
              <w:rPr>
                <w:bCs/>
              </w:rPr>
              <w:t>9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4F874E24" w:rsidR="000C44D2" w:rsidRPr="009B75A7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55813902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257B525E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3AB46C66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38717B">
              <w:rPr>
                <w:b/>
              </w:rPr>
              <w:t>47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166383AB" w:rsidR="0025564A" w:rsidRPr="009B75A7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15" w:type="dxa"/>
          </w:tcPr>
          <w:p w14:paraId="615F4E2C" w14:textId="23F7F84D" w:rsidR="0025564A" w:rsidRPr="004A56EB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8717B">
              <w:rPr>
                <w:bCs/>
              </w:rPr>
              <w:t>5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73A4C572" w:rsidR="0025564A" w:rsidRPr="009B75A7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15" w:type="dxa"/>
          </w:tcPr>
          <w:p w14:paraId="3EC6D09F" w14:textId="63816BC9" w:rsidR="0025564A" w:rsidRPr="004A56EB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1A748B3B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38717B">
              <w:rPr>
                <w:bCs/>
              </w:rPr>
              <w:t>11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38717B">
              <w:rPr>
                <w:bCs/>
              </w:rPr>
              <w:t>92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7B3ABA8C" w:rsidR="0025564A" w:rsidRPr="004A56EB" w:rsidRDefault="0038717B" w:rsidP="000C44D2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82</w:t>
            </w:r>
            <w:r w:rsidR="001412B6">
              <w:rPr>
                <w:bCs/>
              </w:rPr>
              <w:t>.</w:t>
            </w:r>
            <w:r>
              <w:rPr>
                <w:bCs/>
              </w:rPr>
              <w:t>2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1829FA0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C7959">
              <w:rPr>
                <w:bCs/>
              </w:rPr>
              <w:t xml:space="preserve"> </w:t>
            </w:r>
            <w:r w:rsidR="0038717B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 w:rsidR="0038717B">
              <w:rPr>
                <w:bCs/>
              </w:rPr>
              <w:t>8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10AA0C79" w:rsidR="0025564A" w:rsidRPr="004A56EB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717B">
              <w:rPr>
                <w:bCs/>
              </w:rPr>
              <w:t>0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38717B">
              <w:rPr>
                <w:bCs/>
              </w:rPr>
              <w:t>17</w:t>
            </w:r>
            <w:r w:rsidR="001412B6">
              <w:rPr>
                <w:bCs/>
              </w:rPr>
              <w:t>.</w:t>
            </w:r>
            <w:r w:rsidR="0038717B">
              <w:rPr>
                <w:bCs/>
              </w:rPr>
              <w:t>8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C4952E0" w14:textId="77777777" w:rsidR="00A93A27" w:rsidRDefault="00216690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7EE99A9" wp14:editId="66AD2BA9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 xml:space="preserve"> 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7EE41F5D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38717B">
        <w:rPr>
          <w:b/>
          <w:noProof/>
        </w:rPr>
        <w:t>47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AF5106" w:rsidRPr="002863C0" w14:paraId="203AA38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74924DC8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779C9AD6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59C7FA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5D47194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169DE52E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4220CEE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58038EA6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0C8EFCCA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311B080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AEC9D77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73FEC82A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6813F2B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40F1AB5C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2930041A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1A9FB1D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65AC793E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0F3928C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2F8DA774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70509802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762AF493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611BD996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0BB5CCC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60A917F1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346BE38E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13039716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01D89D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785E3610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335C4348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6E6E32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7701785E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702F83FF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5EF7A771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3C0D1A5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6330E3AF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78E1A835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75F3757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4BA1A7D2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45821D1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1E55B0F0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39E7D0EC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407914C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23CEB2C8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1991FA12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7BA5E65B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19183632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07C5CFFD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500BC7F4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F5106" w:rsidRPr="002863C0" w14:paraId="3B79B1F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06C0C6C6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AF5106" w:rsidRPr="005C1B5E" w:rsidRDefault="00AF5106" w:rsidP="00AF510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5893E35A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81C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AF5106" w:rsidRPr="005C1B5E" w:rsidRDefault="00AF5106" w:rsidP="00AF51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AD9" w:rsidRPr="002863C0" w14:paraId="0BBB486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6C2907BC" w:rsidR="009C5AD9" w:rsidRPr="005C1B5E" w:rsidRDefault="00AF5106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5C1B5E" w:rsidRDefault="003A6FA3" w:rsidP="009C5A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0353A677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4941F83" w14:textId="1E9D7ADE" w:rsidR="00670637" w:rsidRDefault="00CE3A57" w:rsidP="005C1B5E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t xml:space="preserve">  </w:t>
      </w:r>
      <w:r w:rsidR="002C2C32">
        <w:rPr>
          <w:b/>
          <w:noProof/>
          <w:sz w:val="20"/>
          <w:szCs w:val="20"/>
        </w:rPr>
        <w:t xml:space="preserve">   </w:t>
      </w:r>
      <w:r w:rsidR="0080406A">
        <w:rPr>
          <w:b/>
          <w:noProof/>
          <w:sz w:val="20"/>
          <w:szCs w:val="20"/>
        </w:rPr>
        <w:t xml:space="preserve">    </w:t>
      </w:r>
      <w:r w:rsidR="002C2C32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8717B">
        <w:rPr>
          <w:b/>
          <w:noProof/>
          <w:sz w:val="20"/>
          <w:szCs w:val="20"/>
        </w:rPr>
        <w:t>47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</w:t>
      </w:r>
    </w:p>
    <w:p w14:paraId="3B2DC70C" w14:textId="48136E6B" w:rsidR="00770445" w:rsidRPr="00CE3A57" w:rsidRDefault="00BD2082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</w:t>
      </w:r>
    </w:p>
    <w:p w14:paraId="3B04FF86" w14:textId="371E6931" w:rsidR="00670637" w:rsidRPr="00670637" w:rsidRDefault="00CE3A57" w:rsidP="0067063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</w:t>
      </w:r>
      <w:r w:rsidR="003109A7">
        <w:rPr>
          <w:noProof/>
        </w:rPr>
        <w:drawing>
          <wp:inline distT="0" distB="0" distL="0" distR="0" wp14:anchorId="5EAF716B" wp14:editId="6EE89EA8">
            <wp:extent cx="3200400" cy="4267200"/>
            <wp:effectExtent l="0" t="0" r="0" b="0"/>
            <wp:docPr id="78955704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57044" name="Picture 4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DFEB" w14:textId="49CB7977" w:rsidR="00ED0D31" w:rsidRDefault="00ED0D31" w:rsidP="00CE3A57">
      <w:pPr>
        <w:rPr>
          <w:b/>
          <w:noProof/>
          <w:sz w:val="20"/>
          <w:szCs w:val="20"/>
        </w:rPr>
      </w:pPr>
    </w:p>
    <w:p w14:paraId="4ADED13F" w14:textId="6F4B5CD4" w:rsidR="00BD2082" w:rsidRDefault="00BD2082" w:rsidP="00CE3A57">
      <w:pPr>
        <w:rPr>
          <w:b/>
          <w:noProof/>
          <w:sz w:val="20"/>
          <w:szCs w:val="20"/>
        </w:rPr>
      </w:pPr>
    </w:p>
    <w:p w14:paraId="794859D9" w14:textId="21B4D538" w:rsidR="0080406A" w:rsidRDefault="00670637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</w:t>
      </w:r>
    </w:p>
    <w:p w14:paraId="1B6B9EF3" w14:textId="24D1EB2E" w:rsidR="00BD2082" w:rsidRDefault="0080406A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</w:t>
      </w:r>
      <w:r w:rsidR="00670637">
        <w:rPr>
          <w:b/>
          <w:noProof/>
          <w:sz w:val="20"/>
          <w:szCs w:val="20"/>
        </w:rPr>
        <w:t xml:space="preserve">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38717B">
        <w:rPr>
          <w:b/>
          <w:noProof/>
          <w:sz w:val="20"/>
          <w:szCs w:val="20"/>
        </w:rPr>
        <w:t>47</w:t>
      </w:r>
    </w:p>
    <w:p w14:paraId="43D220C7" w14:textId="6EF172C1" w:rsidR="0080406A" w:rsidRDefault="0080406A" w:rsidP="00CE3A57">
      <w:pPr>
        <w:rPr>
          <w:b/>
          <w:noProof/>
          <w:sz w:val="20"/>
          <w:szCs w:val="20"/>
        </w:rPr>
      </w:pPr>
    </w:p>
    <w:p w14:paraId="12FFEBA5" w14:textId="22412AFE" w:rsidR="0080406A" w:rsidRDefault="003109A7" w:rsidP="00CE3A57">
      <w:pPr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F564C73" wp14:editId="24DA89E3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3200400" cy="4267200"/>
            <wp:effectExtent l="0" t="0" r="0" b="0"/>
            <wp:wrapSquare wrapText="bothSides"/>
            <wp:docPr id="1123331385" name="Picture 5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 descr="Ma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4F15F" w14:textId="2C03A0EB" w:rsidR="0080406A" w:rsidRDefault="0080406A" w:rsidP="00CE3A57">
      <w:pPr>
        <w:rPr>
          <w:b/>
          <w:noProof/>
          <w:sz w:val="20"/>
          <w:szCs w:val="20"/>
        </w:rPr>
      </w:pPr>
    </w:p>
    <w:p w14:paraId="2D03198B" w14:textId="7D477F9B" w:rsidR="0080406A" w:rsidRDefault="0080406A" w:rsidP="00CE3A57">
      <w:pPr>
        <w:rPr>
          <w:b/>
          <w:noProof/>
          <w:sz w:val="20"/>
          <w:szCs w:val="20"/>
        </w:rPr>
      </w:pPr>
    </w:p>
    <w:p w14:paraId="24C4A5A8" w14:textId="3CCB61BF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7730F87C" w14:textId="77777777" w:rsidR="0080406A" w:rsidRDefault="0080406A" w:rsidP="0080406A">
      <w:pPr>
        <w:tabs>
          <w:tab w:val="left" w:pos="1080"/>
        </w:tabs>
        <w:rPr>
          <w:b/>
        </w:rPr>
      </w:pPr>
    </w:p>
    <w:p w14:paraId="6BBC509C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39B82425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4A518352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7A754290" w14:textId="158408F0" w:rsidR="007F5A8F" w:rsidRDefault="007F5A8F" w:rsidP="007F5A8F">
      <w:pPr>
        <w:rPr>
          <w:noProof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24-25</w:t>
      </w:r>
      <w:r w:rsidRPr="00A04C20">
        <w:rPr>
          <w:noProof/>
        </w:rPr>
        <w:t xml:space="preserve"> 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4061" w:type="dxa"/>
        <w:tblLook w:val="04A0" w:firstRow="1" w:lastRow="0" w:firstColumn="1" w:lastColumn="0" w:noHBand="0" w:noVBand="1"/>
      </w:tblPr>
      <w:tblGrid>
        <w:gridCol w:w="1870"/>
        <w:gridCol w:w="704"/>
        <w:gridCol w:w="803"/>
        <w:gridCol w:w="684"/>
      </w:tblGrid>
      <w:tr w:rsidR="007F5A8F" w14:paraId="63F6346E" w14:textId="77777777" w:rsidTr="007F5A8F">
        <w:trPr>
          <w:trHeight w:val="249"/>
        </w:trPr>
        <w:tc>
          <w:tcPr>
            <w:tcW w:w="1898" w:type="dxa"/>
            <w:vMerge w:val="restart"/>
            <w:shd w:val="clear" w:color="auto" w:fill="D9D9D9" w:themeFill="background1" w:themeFillShade="D9"/>
          </w:tcPr>
          <w:p w14:paraId="68B0D5C2" w14:textId="77777777" w:rsidR="007F5A8F" w:rsidRDefault="007F5A8F" w:rsidP="00B62A80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3"/>
            <w:shd w:val="clear" w:color="auto" w:fill="D9D9D9" w:themeFill="background1" w:themeFillShade="D9"/>
          </w:tcPr>
          <w:p w14:paraId="01F30AE9" w14:textId="038C5BF0" w:rsidR="007F5A8F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Age (years)</w:t>
            </w:r>
          </w:p>
        </w:tc>
      </w:tr>
      <w:tr w:rsidR="00B62A80" w14:paraId="258F726F" w14:textId="77777777" w:rsidTr="007F5A8F">
        <w:trPr>
          <w:trHeight w:val="248"/>
        </w:trPr>
        <w:tc>
          <w:tcPr>
            <w:tcW w:w="1898" w:type="dxa"/>
            <w:vMerge/>
            <w:shd w:val="clear" w:color="auto" w:fill="D9D9D9" w:themeFill="background1" w:themeFillShade="D9"/>
          </w:tcPr>
          <w:p w14:paraId="4156B7A8" w14:textId="77777777" w:rsidR="00B62A80" w:rsidRDefault="00B62A80" w:rsidP="00B62A80">
            <w:pPr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6D083E5" w14:textId="0781F748" w:rsidR="00B62A80" w:rsidRPr="007F5A8F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Min.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860B630" w14:textId="22617224" w:rsidR="00B62A80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Mean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13A5303" w14:textId="3D2E1DE6" w:rsidR="00B62A80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Max</w:t>
            </w:r>
          </w:p>
        </w:tc>
      </w:tr>
      <w:tr w:rsidR="00B62A80" w14:paraId="09B17EB4" w14:textId="77777777" w:rsidTr="007F5A8F">
        <w:trPr>
          <w:trHeight w:val="494"/>
        </w:trPr>
        <w:tc>
          <w:tcPr>
            <w:tcW w:w="1898" w:type="dxa"/>
          </w:tcPr>
          <w:p w14:paraId="77464B1C" w14:textId="24FC035F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730" w:type="dxa"/>
          </w:tcPr>
          <w:p w14:paraId="5EBC5846" w14:textId="1795FC90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&lt; 1</w:t>
            </w:r>
          </w:p>
        </w:tc>
        <w:tc>
          <w:tcPr>
            <w:tcW w:w="720" w:type="dxa"/>
          </w:tcPr>
          <w:p w14:paraId="7A934CDE" w14:textId="6001D8BE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12" w:type="dxa"/>
          </w:tcPr>
          <w:p w14:paraId="7FF8DFE0" w14:textId="3C3511CD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88</w:t>
            </w:r>
          </w:p>
        </w:tc>
      </w:tr>
      <w:tr w:rsidR="00B62A80" w14:paraId="1F00A37F" w14:textId="77777777" w:rsidTr="007F5A8F">
        <w:trPr>
          <w:trHeight w:val="494"/>
        </w:trPr>
        <w:tc>
          <w:tcPr>
            <w:tcW w:w="1898" w:type="dxa"/>
          </w:tcPr>
          <w:p w14:paraId="79566946" w14:textId="4FF0A3F2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730" w:type="dxa"/>
          </w:tcPr>
          <w:p w14:paraId="031190E1" w14:textId="08137F2C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20" w:type="dxa"/>
          </w:tcPr>
          <w:p w14:paraId="53EFB153" w14:textId="3DB2488B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12" w:type="dxa"/>
          </w:tcPr>
          <w:p w14:paraId="2D728FBA" w14:textId="2350AE07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</w:tr>
      <w:tr w:rsidR="00B62A80" w14:paraId="1CFA6847" w14:textId="77777777" w:rsidTr="007F5A8F">
        <w:trPr>
          <w:trHeight w:val="453"/>
        </w:trPr>
        <w:tc>
          <w:tcPr>
            <w:tcW w:w="1898" w:type="dxa"/>
          </w:tcPr>
          <w:p w14:paraId="768CF934" w14:textId="38B75EB6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730" w:type="dxa"/>
          </w:tcPr>
          <w:p w14:paraId="19413754" w14:textId="3AEDBA54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20" w:type="dxa"/>
          </w:tcPr>
          <w:p w14:paraId="75F459AB" w14:textId="48F5BCDC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12" w:type="dxa"/>
          </w:tcPr>
          <w:p w14:paraId="3A20F241" w14:textId="6326C295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</w:tr>
    </w:tbl>
    <w:p w14:paraId="3255F1EC" w14:textId="4E7D697A" w:rsidR="00B62A80" w:rsidRDefault="00B62A80" w:rsidP="00B62A80">
      <w:pPr>
        <w:rPr>
          <w:b/>
          <w:sz w:val="16"/>
          <w:szCs w:val="16"/>
        </w:rPr>
      </w:pPr>
    </w:p>
    <w:p w14:paraId="1CC775F5" w14:textId="321205E5" w:rsidR="00B62A80" w:rsidRDefault="00B62A80" w:rsidP="00B62A80">
      <w:pPr>
        <w:rPr>
          <w:b/>
          <w:sz w:val="16"/>
          <w:szCs w:val="16"/>
        </w:rPr>
      </w:pP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3A8D4A50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63C7C62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4407723C" w14:textId="06B7E65A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3847A584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13BC323A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5B9A8BF8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7C34" w:rsidRPr="00050158" w14:paraId="1A58FD1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F899D2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588B87C9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5E326EDC" w14:textId="545034D2" w:rsidR="00670637" w:rsidRPr="00670637" w:rsidRDefault="00670637" w:rsidP="00670637">
      <w:pPr>
        <w:tabs>
          <w:tab w:val="left" w:pos="5896"/>
        </w:tabs>
        <w:rPr>
          <w:noProof/>
        </w:rPr>
      </w:pPr>
    </w:p>
    <w:p w14:paraId="5DF35A4E" w14:textId="00A0340B" w:rsidR="00AF5106" w:rsidRPr="00AF5106" w:rsidRDefault="00AF5106" w:rsidP="00AF5106">
      <w:pPr>
        <w:tabs>
          <w:tab w:val="left" w:pos="5896"/>
        </w:tabs>
        <w:rPr>
          <w:noProof/>
        </w:rPr>
      </w:pPr>
      <w:r w:rsidRPr="00AF5106">
        <w:rPr>
          <w:noProof/>
        </w:rPr>
        <w:drawing>
          <wp:inline distT="0" distB="0" distL="0" distR="0" wp14:anchorId="673B031D" wp14:editId="30F34B65">
            <wp:extent cx="6858000" cy="6339205"/>
            <wp:effectExtent l="0" t="0" r="0" b="4445"/>
            <wp:docPr id="9378211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5643" w14:textId="03FEED22" w:rsidR="00035C98" w:rsidRDefault="00035C98" w:rsidP="001C7959">
      <w:pPr>
        <w:tabs>
          <w:tab w:val="left" w:pos="5896"/>
        </w:tabs>
        <w:rPr>
          <w:noProof/>
        </w:rPr>
      </w:pPr>
    </w:p>
    <w:p w14:paraId="5AA4DCFF" w14:textId="77777777" w:rsidR="001C7959" w:rsidRDefault="001C7959" w:rsidP="001C7959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  <w:highlight w:val="yellow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1.71</c:v>
                </c:pt>
                <c:pt idx="5">
                  <c:v>1.6</c:v>
                </c:pt>
                <c:pt idx="6">
                  <c:v>1.41</c:v>
                </c:pt>
                <c:pt idx="7">
                  <c:v>0.68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</c:v>
                </c:pt>
                <c:pt idx="1">
                  <c:v>1.51</c:v>
                </c:pt>
                <c:pt idx="2">
                  <c:v>1.76</c:v>
                </c:pt>
                <c:pt idx="3" formatCode="0.00">
                  <c:v>1.8</c:v>
                </c:pt>
                <c:pt idx="4">
                  <c:v>1.77</c:v>
                </c:pt>
                <c:pt idx="5">
                  <c:v>1.79</c:v>
                </c:pt>
                <c:pt idx="6">
                  <c:v>1.82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1.86</c:v>
                </c:pt>
                <c:pt idx="6">
                  <c:v>1.89</c:v>
                </c:pt>
                <c:pt idx="7">
                  <c:v>1.85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  <c:pt idx="7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4.4368600682593859</c:v>
                </c:pt>
                <c:pt idx="1">
                  <c:v>7.5539568345323742</c:v>
                </c:pt>
                <c:pt idx="2">
                  <c:v>7.1186440677966107</c:v>
                </c:pt>
                <c:pt idx="3">
                  <c:v>7.0469798657718119</c:v>
                </c:pt>
                <c:pt idx="4">
                  <c:v>6.0402684563758395</c:v>
                </c:pt>
                <c:pt idx="5">
                  <c:v>5.9233449477351918</c:v>
                </c:pt>
                <c:pt idx="6">
                  <c:v>5.2830188679245289</c:v>
                </c:pt>
                <c:pt idx="7">
                  <c:v>5.8394160583941606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5.6195301704283738</c:v>
                </c:pt>
                <c:pt idx="6">
                  <c:v>5.5491329479768785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4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14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2</cp:revision>
  <cp:lastPrinted>2024-10-08T21:14:00Z</cp:lastPrinted>
  <dcterms:created xsi:type="dcterms:W3CDTF">2024-11-26T21:21:00Z</dcterms:created>
  <dcterms:modified xsi:type="dcterms:W3CDTF">2024-11-26T21:21:00Z</dcterms:modified>
</cp:coreProperties>
</file>