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4D66F5A" w:rsidR="00272295" w:rsidRDefault="00AA0295" w:rsidP="00697B1E">
      <w:r>
        <w:t xml:space="preserve">November </w:t>
      </w:r>
      <w:r w:rsidR="00670637">
        <w:t>1</w:t>
      </w:r>
      <w:r w:rsidR="003F3303">
        <w:t>9</w:t>
      </w:r>
      <w:r w:rsidR="00337F3B">
        <w:t>, 202</w:t>
      </w:r>
      <w:r w:rsidR="003E4E12">
        <w:t>4</w:t>
      </w:r>
    </w:p>
    <w:p w14:paraId="4E65E6AD" w14:textId="778AB82D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3F3303">
        <w:t>46</w:t>
      </w:r>
      <w:r w:rsidR="00816D7A" w:rsidRPr="00FD1CC0">
        <w:t xml:space="preserve"> (ending </w:t>
      </w:r>
      <w:r w:rsidR="00716AAE">
        <w:t>1</w:t>
      </w:r>
      <w:r w:rsidR="00AA0295">
        <w:t>1</w:t>
      </w:r>
      <w:r w:rsidR="00D37AB5">
        <w:t>/</w:t>
      </w:r>
      <w:r w:rsidR="003F3303">
        <w:t>16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9F43357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3F3303">
              <w:rPr>
                <w:b/>
                <w:bCs/>
              </w:rPr>
              <w:t>35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376D151" w:rsidR="00673D41" w:rsidRPr="00F54653" w:rsidRDefault="003F3303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7E773359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7C5F330C" w:rsidR="005C2BB6" w:rsidRPr="00364EE2" w:rsidRDefault="0077585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  <w:r w:rsidR="003F3303">
              <w:rPr>
                <w:b/>
                <w:bCs/>
              </w:rPr>
              <w:t>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CF17B58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77585E">
              <w:rPr>
                <w:b/>
                <w:bCs/>
              </w:rPr>
              <w:t>2</w:t>
            </w:r>
            <w:r w:rsidR="003F3303">
              <w:rPr>
                <w:b/>
                <w:bCs/>
              </w:rPr>
              <w:t>5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04D3A2D3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7158F25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4EEB785" w:rsidR="00531811" w:rsidRPr="00615AE8" w:rsidRDefault="0022523B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5.92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7EE01EA5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B279886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22523B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0407C66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583B98F5" w14:textId="40AA8E97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5D43F97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08EF3159" w14:textId="5EB54506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584AA48C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07EFC05A" w:rsidR="00771A38" w:rsidRPr="009B75A7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D24C2E1" w14:textId="06B4BD1B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A2D192E" w:rsidR="00771A38" w:rsidRPr="009B75A7" w:rsidRDefault="0022523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13E709C4" w14:textId="26462DAE" w:rsidR="00771A38" w:rsidRPr="003D117B" w:rsidRDefault="000D3E33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2BC24E82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650356DC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915F30F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F3303">
              <w:rPr>
                <w:b/>
              </w:rPr>
              <w:t>4</w:t>
            </w:r>
            <w:r w:rsidR="000D3E33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6B5DB0E5" w:rsidR="00771A38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923</w:t>
            </w:r>
          </w:p>
        </w:tc>
        <w:tc>
          <w:tcPr>
            <w:tcW w:w="2515" w:type="dxa"/>
          </w:tcPr>
          <w:p w14:paraId="783B27B2" w14:textId="025AD6D2" w:rsidR="00771A38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5244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40737737" w:rsidR="000C44D2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5(0.54%)</w:t>
            </w:r>
          </w:p>
        </w:tc>
        <w:tc>
          <w:tcPr>
            <w:tcW w:w="2515" w:type="dxa"/>
          </w:tcPr>
          <w:p w14:paraId="04AD303C" w14:textId="0FA198A2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2435B2">
              <w:rPr>
                <w:bCs/>
              </w:rPr>
              <w:t xml:space="preserve"> (0.</w:t>
            </w:r>
            <w:r>
              <w:rPr>
                <w:bCs/>
              </w:rPr>
              <w:t>34</w:t>
            </w:r>
            <w:r w:rsidR="002435B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236A1340" w:rsidR="000C44D2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7F814D02" w14:textId="2E794DDF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365504B" w:rsidR="000C44D2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55813902" w:rsidR="000C44D2" w:rsidRPr="000C44D2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6F2BD80B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388E518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3F3303">
              <w:rPr>
                <w:b/>
              </w:rPr>
              <w:t>46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F76D4D8" w:rsidR="0025564A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15" w:type="dxa"/>
          </w:tcPr>
          <w:p w14:paraId="615F4E2C" w14:textId="5261CE80" w:rsidR="0025564A" w:rsidRPr="004A56EB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C86AA49" w:rsidR="0025564A" w:rsidRPr="009B75A7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3EC6D09F" w14:textId="4C2C8885" w:rsidR="0025564A" w:rsidRPr="004A56EB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D3E33">
              <w:rPr>
                <w:bCs/>
              </w:rPr>
              <w:t>5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60D822B7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0D3E33">
              <w:rPr>
                <w:bCs/>
              </w:rPr>
              <w:t>2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0D3E33">
              <w:rPr>
                <w:bCs/>
              </w:rPr>
              <w:t>40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1D19CD58" w:rsidR="0025564A" w:rsidRPr="004A56EB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D3E33">
              <w:rPr>
                <w:bCs/>
              </w:rPr>
              <w:t>3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1C7959">
              <w:rPr>
                <w:bCs/>
              </w:rPr>
              <w:t>7</w:t>
            </w:r>
            <w:r w:rsidR="009C554B">
              <w:rPr>
                <w:bCs/>
              </w:rPr>
              <w:t>3</w:t>
            </w:r>
            <w:r>
              <w:rPr>
                <w:bCs/>
              </w:rPr>
              <w:t>.5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32DA931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C7959">
              <w:rPr>
                <w:bCs/>
              </w:rPr>
              <w:t xml:space="preserve"> </w:t>
            </w:r>
            <w:r w:rsidR="000D3E33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0D3E33">
              <w:rPr>
                <w:bCs/>
              </w:rPr>
              <w:t>60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27E2E446" w:rsidR="0025564A" w:rsidRPr="004A56EB" w:rsidRDefault="000D3E33" w:rsidP="000C44D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1C7959">
              <w:rPr>
                <w:bCs/>
              </w:rPr>
              <w:t>2</w:t>
            </w:r>
            <w:r w:rsidR="009C554B">
              <w:rPr>
                <w:bCs/>
              </w:rPr>
              <w:t>3</w:t>
            </w:r>
            <w:r w:rsidR="001412B6">
              <w:rPr>
                <w:bCs/>
              </w:rPr>
              <w:t>.5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C4952E0" w14:textId="77777777" w:rsidR="00A93A27" w:rsidRDefault="00216690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7EE99A9" wp14:editId="5974D75E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EC8AE7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3F3303">
        <w:rPr>
          <w:b/>
          <w:noProof/>
        </w:rPr>
        <w:t>46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9C554B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232996AC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7F63EA11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Plateau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1DC97078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68A8BCFA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32497633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9E1E3CD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5941617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</w:tr>
      <w:tr w:rsidR="009C554B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5597785C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04A23E37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1635E0F4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0F3928C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38DF89BD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CA928A4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611BD996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84ECA25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785E3610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FDA73D4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F8C23CF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702F83FF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BA20983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73743D56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21643B30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moderate</w:t>
            </w:r>
          </w:p>
        </w:tc>
      </w:tr>
      <w:tr w:rsidR="009C554B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4BA1A7D2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45821D1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425F675F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407914C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23CEB2C8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5F953AF1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4088DC1C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51C4DE50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54B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7860E7E2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9C554B" w:rsidRPr="005C1B5E" w:rsidRDefault="009C554B" w:rsidP="009C554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5209A93A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396C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9C554B" w:rsidRPr="005C1B5E" w:rsidRDefault="009C554B" w:rsidP="009C55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231AC04E" w:rsidR="009C5AD9" w:rsidRPr="005C1B5E" w:rsidRDefault="009C554B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0353A677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941F83" w14:textId="67F53EE9" w:rsidR="00670637" w:rsidRDefault="00CE3A57" w:rsidP="005C1B5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t xml:space="preserve">  </w:t>
      </w:r>
      <w:r w:rsidR="002C2C32">
        <w:rPr>
          <w:b/>
          <w:noProof/>
          <w:sz w:val="20"/>
          <w:szCs w:val="20"/>
        </w:rPr>
        <w:t xml:space="preserve">   </w:t>
      </w:r>
      <w:r w:rsidR="0080406A">
        <w:rPr>
          <w:b/>
          <w:noProof/>
          <w:sz w:val="20"/>
          <w:szCs w:val="20"/>
        </w:rPr>
        <w:t xml:space="preserve">    </w:t>
      </w:r>
      <w:r w:rsidR="002C2C32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F3303">
        <w:rPr>
          <w:b/>
          <w:noProof/>
          <w:sz w:val="20"/>
          <w:szCs w:val="20"/>
        </w:rPr>
        <w:t>46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48136E6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B04FF86" w14:textId="75D9DA91" w:rsidR="00670637" w:rsidRPr="00670637" w:rsidRDefault="00CE3A57" w:rsidP="0067063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</w:t>
      </w:r>
    </w:p>
    <w:p w14:paraId="38C2DFEB" w14:textId="49CB7977" w:rsidR="00ED0D31" w:rsidRDefault="00ED0D31" w:rsidP="00CE3A57">
      <w:pPr>
        <w:rPr>
          <w:b/>
          <w:noProof/>
          <w:sz w:val="20"/>
          <w:szCs w:val="20"/>
        </w:rPr>
      </w:pPr>
    </w:p>
    <w:p w14:paraId="4ADED13F" w14:textId="3D9153B6" w:rsidR="00BD2082" w:rsidRDefault="0080406A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8393FE5" wp14:editId="76102BA8">
            <wp:extent cx="3200400" cy="4267200"/>
            <wp:effectExtent l="0" t="0" r="0" b="0"/>
            <wp:docPr id="152840246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02465" name="Picture 5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C75A" w14:textId="77777777" w:rsidR="0080406A" w:rsidRDefault="00670637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</w:t>
      </w:r>
    </w:p>
    <w:p w14:paraId="794859D9" w14:textId="77777777" w:rsidR="0080406A" w:rsidRDefault="0080406A" w:rsidP="00CE3A57">
      <w:pPr>
        <w:rPr>
          <w:b/>
          <w:noProof/>
          <w:sz w:val="20"/>
          <w:szCs w:val="20"/>
        </w:rPr>
      </w:pPr>
    </w:p>
    <w:p w14:paraId="1B6B9EF3" w14:textId="51091F6B" w:rsidR="00BD2082" w:rsidRDefault="0080406A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</w:t>
      </w:r>
      <w:r w:rsidR="00670637">
        <w:rPr>
          <w:b/>
          <w:noProof/>
          <w:sz w:val="20"/>
          <w:szCs w:val="20"/>
        </w:rPr>
        <w:t xml:space="preserve">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3F3303">
        <w:rPr>
          <w:b/>
          <w:noProof/>
          <w:sz w:val="20"/>
          <w:szCs w:val="20"/>
        </w:rPr>
        <w:t>46</w:t>
      </w:r>
    </w:p>
    <w:p w14:paraId="43D220C7" w14:textId="77777777" w:rsidR="0080406A" w:rsidRDefault="0080406A" w:rsidP="00CE3A57">
      <w:pPr>
        <w:rPr>
          <w:b/>
          <w:noProof/>
          <w:sz w:val="20"/>
          <w:szCs w:val="20"/>
        </w:rPr>
      </w:pPr>
    </w:p>
    <w:p w14:paraId="12FFEBA5" w14:textId="77777777" w:rsidR="0080406A" w:rsidRDefault="0080406A" w:rsidP="00CE3A57">
      <w:pPr>
        <w:rPr>
          <w:b/>
          <w:noProof/>
          <w:sz w:val="20"/>
          <w:szCs w:val="20"/>
        </w:rPr>
      </w:pPr>
    </w:p>
    <w:p w14:paraId="36C4F15F" w14:textId="77777777" w:rsidR="0080406A" w:rsidRDefault="0080406A" w:rsidP="00CE3A57">
      <w:pPr>
        <w:rPr>
          <w:b/>
          <w:noProof/>
          <w:sz w:val="20"/>
          <w:szCs w:val="20"/>
        </w:rPr>
      </w:pPr>
    </w:p>
    <w:p w14:paraId="2D03198B" w14:textId="6A9D5B14" w:rsidR="0080406A" w:rsidRDefault="0080406A" w:rsidP="00CE3A57">
      <w:pPr>
        <w:rPr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8C081EB" wp14:editId="461A3280">
            <wp:extent cx="3200400" cy="4267200"/>
            <wp:effectExtent l="0" t="0" r="0" b="0"/>
            <wp:docPr id="1115406358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06358" name="Picture 6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A5A8" w14:textId="3CCB61BF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7730F87C" w14:textId="77777777" w:rsidR="0080406A" w:rsidRDefault="0080406A" w:rsidP="0080406A">
      <w:pPr>
        <w:tabs>
          <w:tab w:val="left" w:pos="1080"/>
        </w:tabs>
        <w:rPr>
          <w:b/>
        </w:rPr>
      </w:pPr>
    </w:p>
    <w:p w14:paraId="6BBC509C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39B82425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4A518352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7A754290" w14:textId="158408F0" w:rsidR="007F5A8F" w:rsidRDefault="007F5A8F" w:rsidP="007F5A8F">
      <w:pPr>
        <w:rPr>
          <w:noProof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24-25</w:t>
      </w:r>
      <w:r w:rsidRPr="00A04C20">
        <w:rPr>
          <w:noProof/>
        </w:rPr>
        <w:t xml:space="preserve"> 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4061" w:type="dxa"/>
        <w:tblLook w:val="04A0" w:firstRow="1" w:lastRow="0" w:firstColumn="1" w:lastColumn="0" w:noHBand="0" w:noVBand="1"/>
      </w:tblPr>
      <w:tblGrid>
        <w:gridCol w:w="1870"/>
        <w:gridCol w:w="704"/>
        <w:gridCol w:w="803"/>
        <w:gridCol w:w="684"/>
      </w:tblGrid>
      <w:tr w:rsidR="007F5A8F" w14:paraId="63F6346E" w14:textId="77777777" w:rsidTr="007F5A8F">
        <w:trPr>
          <w:trHeight w:val="249"/>
        </w:trPr>
        <w:tc>
          <w:tcPr>
            <w:tcW w:w="1898" w:type="dxa"/>
            <w:vMerge w:val="restart"/>
            <w:shd w:val="clear" w:color="auto" w:fill="D9D9D9" w:themeFill="background1" w:themeFillShade="D9"/>
          </w:tcPr>
          <w:p w14:paraId="68B0D5C2" w14:textId="77777777" w:rsidR="007F5A8F" w:rsidRDefault="007F5A8F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3"/>
            <w:shd w:val="clear" w:color="auto" w:fill="D9D9D9" w:themeFill="background1" w:themeFillShade="D9"/>
          </w:tcPr>
          <w:p w14:paraId="01F30AE9" w14:textId="038C5BF0" w:rsid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Age (years)</w:t>
            </w:r>
          </w:p>
        </w:tc>
      </w:tr>
      <w:tr w:rsidR="00B62A80" w14:paraId="258F726F" w14:textId="77777777" w:rsidTr="007F5A8F">
        <w:trPr>
          <w:trHeight w:val="248"/>
        </w:trPr>
        <w:tc>
          <w:tcPr>
            <w:tcW w:w="1898" w:type="dxa"/>
            <w:vMerge/>
            <w:shd w:val="clear" w:color="auto" w:fill="D9D9D9" w:themeFill="background1" w:themeFillShade="D9"/>
          </w:tcPr>
          <w:p w14:paraId="4156B7A8" w14:textId="77777777" w:rsidR="00B62A80" w:rsidRDefault="00B62A80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6D083E5" w14:textId="0781F748" w:rsidR="00B62A80" w:rsidRP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Min.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60B630" w14:textId="22617224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Mean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13A5303" w14:textId="3D2E1DE6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Max</w:t>
            </w:r>
          </w:p>
        </w:tc>
      </w:tr>
      <w:tr w:rsidR="00B62A80" w14:paraId="09B17EB4" w14:textId="77777777" w:rsidTr="007F5A8F">
        <w:trPr>
          <w:trHeight w:val="494"/>
        </w:trPr>
        <w:tc>
          <w:tcPr>
            <w:tcW w:w="1898" w:type="dxa"/>
          </w:tcPr>
          <w:p w14:paraId="77464B1C" w14:textId="24FC035F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730" w:type="dxa"/>
          </w:tcPr>
          <w:p w14:paraId="5EBC5846" w14:textId="1795FC90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&lt; 1</w:t>
            </w:r>
          </w:p>
        </w:tc>
        <w:tc>
          <w:tcPr>
            <w:tcW w:w="720" w:type="dxa"/>
          </w:tcPr>
          <w:p w14:paraId="7A934CDE" w14:textId="6001D8BE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12" w:type="dxa"/>
          </w:tcPr>
          <w:p w14:paraId="7FF8DFE0" w14:textId="3C3511CD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88</w:t>
            </w:r>
          </w:p>
        </w:tc>
      </w:tr>
      <w:tr w:rsidR="00B62A80" w14:paraId="1F00A37F" w14:textId="77777777" w:rsidTr="007F5A8F">
        <w:trPr>
          <w:trHeight w:val="494"/>
        </w:trPr>
        <w:tc>
          <w:tcPr>
            <w:tcW w:w="1898" w:type="dxa"/>
          </w:tcPr>
          <w:p w14:paraId="79566946" w14:textId="4FF0A3F2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730" w:type="dxa"/>
          </w:tcPr>
          <w:p w14:paraId="031190E1" w14:textId="08137F2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53EFB153" w14:textId="3DB2488B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2D728FBA" w14:textId="2350AE07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  <w:tr w:rsidR="00B62A80" w14:paraId="1CFA6847" w14:textId="77777777" w:rsidTr="007F5A8F">
        <w:trPr>
          <w:trHeight w:val="453"/>
        </w:trPr>
        <w:tc>
          <w:tcPr>
            <w:tcW w:w="1898" w:type="dxa"/>
          </w:tcPr>
          <w:p w14:paraId="768CF934" w14:textId="38B75EB6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730" w:type="dxa"/>
          </w:tcPr>
          <w:p w14:paraId="19413754" w14:textId="3AEDBA54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75F459AB" w14:textId="48F5BCD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3A20F241" w14:textId="6326C295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</w:tbl>
    <w:p w14:paraId="3255F1EC" w14:textId="4E7D697A" w:rsidR="00B62A80" w:rsidRDefault="00B62A80" w:rsidP="00B62A80">
      <w:pPr>
        <w:rPr>
          <w:b/>
          <w:sz w:val="16"/>
          <w:szCs w:val="16"/>
        </w:rPr>
      </w:pPr>
    </w:p>
    <w:p w14:paraId="1CC775F5" w14:textId="321205E5" w:rsidR="00B62A80" w:rsidRDefault="00B62A80" w:rsidP="00B62A80">
      <w:pPr>
        <w:rPr>
          <w:b/>
          <w:sz w:val="16"/>
          <w:szCs w:val="16"/>
        </w:rPr>
      </w:pP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3A8D4A50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63C7C62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4407723C" w14:textId="06B7E65A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3847A584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13BC323A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5B9A8BF8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7C34" w:rsidRPr="00050158" w14:paraId="1A58FD1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899D2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5E326EDC" w14:textId="545034D2" w:rsidR="00670637" w:rsidRPr="00670637" w:rsidRDefault="00670637" w:rsidP="00670637">
      <w:pPr>
        <w:tabs>
          <w:tab w:val="left" w:pos="5896"/>
        </w:tabs>
        <w:rPr>
          <w:noProof/>
        </w:rPr>
      </w:pPr>
    </w:p>
    <w:p w14:paraId="50055643" w14:textId="2ED9D555" w:rsidR="00035C98" w:rsidRDefault="009C554B" w:rsidP="001C7959">
      <w:pPr>
        <w:tabs>
          <w:tab w:val="left" w:pos="5896"/>
        </w:tabs>
        <w:rPr>
          <w:noProof/>
        </w:rPr>
      </w:pPr>
      <w:r w:rsidRPr="009C554B">
        <w:rPr>
          <w:noProof/>
        </w:rPr>
        <w:drawing>
          <wp:inline distT="0" distB="0" distL="0" distR="0" wp14:anchorId="5F983A4A" wp14:editId="5626F034">
            <wp:extent cx="6858000" cy="6310630"/>
            <wp:effectExtent l="0" t="0" r="0" b="0"/>
            <wp:docPr id="154086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6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DCFF" w14:textId="77777777" w:rsidR="001C7959" w:rsidRDefault="001C7959" w:rsidP="001C7959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  <w:highlight w:val="yellow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1.6</c:v>
                </c:pt>
                <c:pt idx="6">
                  <c:v>0.35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1.51</c:v>
                </c:pt>
                <c:pt idx="2">
                  <c:v>1.76</c:v>
                </c:pt>
                <c:pt idx="3" formatCode="0.00">
                  <c:v>1.8</c:v>
                </c:pt>
                <c:pt idx="4">
                  <c:v>1.77</c:v>
                </c:pt>
                <c:pt idx="5">
                  <c:v>1.79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1.86</c:v>
                </c:pt>
                <c:pt idx="6">
                  <c:v>1.89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4.5138888888888884</c:v>
                </c:pt>
                <c:pt idx="1">
                  <c:v>7.8947368421052628</c:v>
                </c:pt>
                <c:pt idx="2">
                  <c:v>7.1917808219178081</c:v>
                </c:pt>
                <c:pt idx="3">
                  <c:v>7.1917808219178081</c:v>
                </c:pt>
                <c:pt idx="4">
                  <c:v>5.9027777777777777</c:v>
                </c:pt>
                <c:pt idx="5">
                  <c:v>5.8394160583941606</c:v>
                </c:pt>
                <c:pt idx="6">
                  <c:v>5.9259259259259265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5.1900584795321638</c:v>
                </c:pt>
                <c:pt idx="5">
                  <c:v>5.1900584795321638</c:v>
                </c:pt>
                <c:pt idx="6">
                  <c:v>5.1900584795321638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14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2</cp:revision>
  <cp:lastPrinted>2024-10-08T21:14:00Z</cp:lastPrinted>
  <dcterms:created xsi:type="dcterms:W3CDTF">2024-11-19T21:50:00Z</dcterms:created>
  <dcterms:modified xsi:type="dcterms:W3CDTF">2024-11-19T21:50:00Z</dcterms:modified>
</cp:coreProperties>
</file>