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8B71" w14:textId="7777777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7A451A4E" w:rsidR="00272295" w:rsidRDefault="00AA0295" w:rsidP="00697B1E">
      <w:r>
        <w:t>November 05</w:t>
      </w:r>
      <w:r w:rsidR="00337F3B">
        <w:t>, 202</w:t>
      </w:r>
      <w:r w:rsidR="003E4E12">
        <w:t>4</w:t>
      </w:r>
    </w:p>
    <w:p w14:paraId="4E65E6AD" w14:textId="039F4986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AA0295">
        <w:t>44</w:t>
      </w:r>
      <w:r w:rsidR="00816D7A" w:rsidRPr="00FD1CC0">
        <w:t xml:space="preserve"> (ending </w:t>
      </w:r>
      <w:r w:rsidR="00716AAE">
        <w:t>1</w:t>
      </w:r>
      <w:r w:rsidR="00AA0295">
        <w:t>1</w:t>
      </w:r>
      <w:r w:rsidR="00D37AB5">
        <w:t>/</w:t>
      </w:r>
      <w:r w:rsidR="00AA0295">
        <w:t>02</w:t>
      </w:r>
      <w:r w:rsidR="00337F3B">
        <w:t>/202</w:t>
      </w:r>
      <w:r w:rsidR="00DD414F">
        <w:t>4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676705">
        <w:rPr>
          <w:b/>
          <w:bCs/>
        </w:rPr>
        <w:t>U</w:t>
      </w:r>
      <w:r w:rsidR="00531811" w:rsidRPr="00676705">
        <w:rPr>
          <w:b/>
          <w:bCs/>
        </w:rPr>
        <w:t>.S. Outpatient</w:t>
      </w:r>
      <w:r w:rsidR="00531811" w:rsidRPr="001143EB">
        <w:rPr>
          <w:b/>
          <w:bCs/>
        </w:rPr>
        <w:t xml:space="preserve"> Influenza-</w:t>
      </w:r>
      <w:r w:rsidR="00531811">
        <w:rPr>
          <w:b/>
          <w:bCs/>
        </w:rPr>
        <w:t>like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Default="0098395E" w:rsidP="0098395E">
      <w:pPr>
        <w:contextualSpacing/>
        <w:rPr>
          <w:b/>
          <w:sz w:val="18"/>
          <w:szCs w:val="18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7ED8" w:rsidRDefault="00F65E5D" w:rsidP="00FE11DD">
      <w:pPr>
        <w:contextualSpacing/>
        <w:jc w:val="center"/>
        <w:rPr>
          <w:b/>
          <w:sz w:val="16"/>
          <w:szCs w:val="16"/>
        </w:rPr>
      </w:pPr>
      <w:r w:rsidRPr="008D2A4C">
        <w:rPr>
          <w:b/>
          <w:sz w:val="16"/>
          <w:szCs w:val="16"/>
        </w:rPr>
        <w:t>Outpatient V</w:t>
      </w:r>
      <w:r w:rsidR="0056086B" w:rsidRPr="008D2A4C">
        <w:rPr>
          <w:b/>
          <w:sz w:val="16"/>
          <w:szCs w:val="16"/>
        </w:rPr>
        <w:t>isits for ILI</w:t>
      </w:r>
      <w:r w:rsidRPr="008D2A4C">
        <w:rPr>
          <w:b/>
          <w:sz w:val="16"/>
          <w:szCs w:val="16"/>
        </w:rPr>
        <w:t xml:space="preserve"> –</w:t>
      </w:r>
      <w:proofErr w:type="spellStart"/>
      <w:r w:rsidR="00BA3739" w:rsidRPr="008D2A4C">
        <w:rPr>
          <w:b/>
          <w:sz w:val="16"/>
          <w:szCs w:val="16"/>
        </w:rPr>
        <w:t>ILINet</w:t>
      </w:r>
      <w:proofErr w:type="spellEnd"/>
      <w:r w:rsidR="00BA3739" w:rsidRPr="008D2A4C">
        <w:rPr>
          <w:b/>
          <w:sz w:val="16"/>
          <w:szCs w:val="16"/>
        </w:rPr>
        <w:t>,</w:t>
      </w:r>
      <w:r w:rsidRPr="008D2A4C">
        <w:rPr>
          <w:b/>
          <w:sz w:val="16"/>
          <w:szCs w:val="16"/>
        </w:rPr>
        <w:t xml:space="preserve"> Maine,</w:t>
      </w:r>
      <w:r w:rsidR="004E71F7" w:rsidRPr="008D2A4C">
        <w:rPr>
          <w:b/>
          <w:sz w:val="16"/>
          <w:szCs w:val="16"/>
        </w:rPr>
        <w:t xml:space="preserve"> 20</w:t>
      </w:r>
      <w:r w:rsidR="00460D83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 w:rsidRPr="008D2A4C">
        <w:rPr>
          <w:b/>
          <w:sz w:val="16"/>
          <w:szCs w:val="16"/>
        </w:rPr>
        <w:t>-</w:t>
      </w:r>
      <w:r w:rsidR="0025332A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54C949A1" w:rsidR="00673D41" w:rsidRPr="00615AE8" w:rsidRDefault="00F56378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F91DED">
              <w:rPr>
                <w:b/>
                <w:bCs/>
              </w:rPr>
              <w:t>55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1B6ACA78" w:rsidR="00673D41" w:rsidRPr="00F54653" w:rsidRDefault="00591E29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91DED">
              <w:rPr>
                <w:b/>
                <w:bCs/>
              </w:rPr>
              <w:t>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6D473B13">
            <wp:extent cx="4215384" cy="1901952"/>
            <wp:effectExtent l="0" t="0" r="0" b="3175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574960A2" w14:textId="77777777" w:rsidR="0098395E" w:rsidRDefault="0098395E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0B888AB7" w:rsidR="005C2BB6" w:rsidRPr="00364EE2" w:rsidRDefault="00F91DED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6C9084F8" w:rsidR="005C2BB6" w:rsidRPr="00FE11DD" w:rsidRDefault="0024231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F91DED">
              <w:rPr>
                <w:b/>
                <w:bCs/>
              </w:rPr>
              <w:t>3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52C5E0D0" w14:textId="77777777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4D5A1391" w:rsidR="00F226A4" w:rsidRPr="005B36F3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1EF5DA4E" w:rsidR="00F226A4" w:rsidRPr="00FE11DD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F226A4" w:rsidRDefault="004C56F4" w:rsidP="00F226A4">
      <w:pPr>
        <w:jc w:val="center"/>
        <w:rPr>
          <w:b/>
          <w:bCs/>
        </w:rPr>
      </w:pPr>
      <w:r w:rsidRPr="006E5BC1">
        <w:rPr>
          <w:b/>
          <w:sz w:val="16"/>
          <w:szCs w:val="16"/>
        </w:rPr>
        <w:t>Syndromic Surveillance data</w:t>
      </w:r>
      <w:r w:rsidR="00F65E5D" w:rsidRPr="00050158">
        <w:rPr>
          <w:b/>
          <w:sz w:val="16"/>
          <w:szCs w:val="16"/>
        </w:rPr>
        <w:t xml:space="preserve"> for ILI – Maine</w:t>
      </w:r>
      <w:r w:rsidR="004E71F7" w:rsidRPr="00050158">
        <w:rPr>
          <w:b/>
          <w:sz w:val="16"/>
          <w:szCs w:val="16"/>
        </w:rPr>
        <w:t>, 20</w:t>
      </w:r>
      <w:r w:rsidR="00107ED8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>
        <w:rPr>
          <w:b/>
          <w:sz w:val="16"/>
          <w:szCs w:val="16"/>
        </w:rPr>
        <w:t xml:space="preserve"> 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44AD8752" w14:textId="17706E58" w:rsidR="00FE11DD" w:rsidRDefault="00616BA0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F45D6E5" wp14:editId="6AE6302A">
            <wp:extent cx="4215384" cy="1901952"/>
            <wp:effectExtent l="0" t="0" r="0" b="3175"/>
            <wp:docPr id="17811963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1A8A42AD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Default="00531811" w:rsidP="00531811">
      <w:pPr>
        <w:jc w:val="center"/>
        <w:rPr>
          <w:b/>
          <w:sz w:val="16"/>
          <w:szCs w:val="16"/>
        </w:rPr>
      </w:pPr>
      <w:r w:rsidRPr="008A0E52">
        <w:rPr>
          <w:b/>
          <w:sz w:val="16"/>
          <w:szCs w:val="16"/>
        </w:rPr>
        <w:t>Influenza Hosp</w:t>
      </w:r>
      <w:r w:rsidRPr="00F226A4">
        <w:rPr>
          <w:b/>
          <w:sz w:val="16"/>
          <w:szCs w:val="16"/>
        </w:rPr>
        <w:t>italization</w:t>
      </w:r>
      <w:r w:rsidRPr="008A0E52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– Maine, 20</w:t>
      </w:r>
      <w:r w:rsidR="00F5465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0227970C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04139EFA" w:rsidR="00531811" w:rsidRPr="00615AE8" w:rsidRDefault="00F91DED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5.03</w:t>
            </w:r>
            <w:r w:rsidR="009B75A7">
              <w:rPr>
                <w:b/>
                <w:bCs/>
              </w:rPr>
              <w:t>%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0A4D506A" w:rsidR="00531811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18CFB2B1" w:rsidR="00615AE8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Default="0098395E" w:rsidP="0098395E">
      <w:pPr>
        <w:rPr>
          <w:b/>
          <w:sz w:val="16"/>
          <w:szCs w:val="16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6E5BC1">
        <w:rPr>
          <w:b/>
          <w:sz w:val="16"/>
          <w:szCs w:val="16"/>
        </w:rPr>
        <w:t>Deaths Attributable</w:t>
      </w:r>
      <w:r w:rsidRPr="00091CAF">
        <w:rPr>
          <w:b/>
          <w:sz w:val="16"/>
          <w:szCs w:val="16"/>
        </w:rPr>
        <w:t xml:space="preserve"> to</w:t>
      </w:r>
      <w:r w:rsidRPr="002121CB">
        <w:rPr>
          <w:b/>
          <w:sz w:val="16"/>
          <w:szCs w:val="16"/>
        </w:rPr>
        <w:t xml:space="preserve"> P&amp;I – Maine, 20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4C741B" w:rsidRPr="002121CB">
        <w:rPr>
          <w:b/>
          <w:sz w:val="16"/>
          <w:szCs w:val="16"/>
        </w:rPr>
        <w:t>-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  <w:r w:rsidR="004B40FE" w:rsidRPr="004B40FE">
        <w:rPr>
          <w:noProof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103E4D0D">
            <wp:extent cx="4215384" cy="1901952"/>
            <wp:effectExtent l="0" t="0" r="0" b="3175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EA6CFAE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281CA0E5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p w14:paraId="33B6FCDA" w14:textId="0E0EF8B0" w:rsidR="00615AE8" w:rsidRDefault="00615AE8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7CF2A4ED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AA0295">
              <w:rPr>
                <w:b/>
              </w:rPr>
              <w:t>44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3AB9E4CC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583B98F5" w14:textId="1C3D78FA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5E2A4117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8EF3159" w14:textId="6BA1B9B3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7D719DD0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33CCFB57" w14:textId="4E3F669B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72D66E39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0D24C2E1" w14:textId="728BCD3B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09F19DBF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13E709C4" w14:textId="0C1BF56D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274F85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21012191" w14:textId="784D36A2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30CEF3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4535DBC3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0E6DF579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3E3CABDF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77777777" w:rsidR="0025564A" w:rsidRDefault="0025564A" w:rsidP="00615AE8">
            <w:pPr>
              <w:rPr>
                <w:b/>
              </w:rPr>
            </w:pPr>
          </w:p>
        </w:tc>
      </w:tr>
    </w:tbl>
    <w:p w14:paraId="5EE5CA6C" w14:textId="0D736B61" w:rsidR="00122779" w:rsidRPr="00050158" w:rsidRDefault="00122779" w:rsidP="00122779">
      <w:pPr>
        <w:jc w:val="center"/>
        <w:rPr>
          <w:b/>
          <w:sz w:val="16"/>
          <w:szCs w:val="16"/>
        </w:rPr>
      </w:pPr>
      <w:r w:rsidRPr="006E5BC1">
        <w:rPr>
          <w:b/>
          <w:sz w:val="16"/>
          <w:szCs w:val="16"/>
        </w:rPr>
        <w:t>Influenza</w:t>
      </w:r>
      <w:r w:rsidRPr="00050158">
        <w:rPr>
          <w:b/>
          <w:sz w:val="16"/>
          <w:szCs w:val="16"/>
        </w:rPr>
        <w:t xml:space="preserve"> Positive PCR </w:t>
      </w:r>
      <w:r>
        <w:rPr>
          <w:b/>
          <w:sz w:val="16"/>
          <w:szCs w:val="16"/>
        </w:rPr>
        <w:t>Tests</w:t>
      </w:r>
      <w:r w:rsidRPr="00050158">
        <w:rPr>
          <w:b/>
          <w:sz w:val="16"/>
          <w:szCs w:val="16"/>
        </w:rPr>
        <w:t>, HETL – Maine, 20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4DC7373B" w14:textId="77777777" w:rsidR="005401F7" w:rsidRDefault="005401F7" w:rsidP="00122779">
      <w:pPr>
        <w:rPr>
          <w:b/>
        </w:rPr>
      </w:pPr>
    </w:p>
    <w:p w14:paraId="1A340A26" w14:textId="77777777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6034E2F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5B2BCB0E" w:rsidR="0025564A" w:rsidRDefault="00271774" w:rsidP="00730950">
      <w:pPr>
        <w:rPr>
          <w:b/>
        </w:rPr>
      </w:pPr>
      <w:r>
        <w:rPr>
          <w:noProof/>
        </w:rPr>
        <w:drawing>
          <wp:inline distT="0" distB="0" distL="0" distR="0" wp14:anchorId="3A19C123" wp14:editId="7FC6A02D">
            <wp:extent cx="4526280" cy="2029968"/>
            <wp:effectExtent l="0" t="0" r="7620" b="8890"/>
            <wp:docPr id="12736422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79BC8D7" w14:textId="2FC21B08" w:rsidR="00097393" w:rsidRDefault="00DB2F87" w:rsidP="00A93A27">
      <w:pPr>
        <w:jc w:val="center"/>
        <w:rPr>
          <w:b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  <w:r>
        <w:rPr>
          <w:b/>
        </w:rPr>
        <w:t xml:space="preserve">                       </w:t>
      </w:r>
      <w:r w:rsidR="00271774">
        <w:rPr>
          <w:noProof/>
        </w:rPr>
        <w:drawing>
          <wp:inline distT="0" distB="0" distL="0" distR="0" wp14:anchorId="1D1C846B" wp14:editId="09164F64">
            <wp:extent cx="1783080" cy="2120900"/>
            <wp:effectExtent l="0" t="0" r="7620" b="0"/>
            <wp:docPr id="21446685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0A32BB" w14:textId="6564848A" w:rsidR="00097393" w:rsidRDefault="00097393" w:rsidP="00122779">
      <w:pPr>
        <w:jc w:val="center"/>
        <w:rPr>
          <w:noProof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</w:p>
    <w:p w14:paraId="40F2201C" w14:textId="77777777" w:rsidR="005401F7" w:rsidRDefault="005401F7" w:rsidP="00122779">
      <w:pPr>
        <w:rPr>
          <w:noProof/>
        </w:rPr>
        <w:sectPr w:rsidR="005401F7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337D65" w14:textId="2F08B3EA" w:rsidR="00097393" w:rsidRDefault="00097393" w:rsidP="00122779">
      <w:pPr>
        <w:rPr>
          <w:b/>
        </w:rPr>
        <w:sectPr w:rsidR="0009739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6E5BC1">
              <w:rPr>
                <w:b/>
              </w:rPr>
              <w:lastRenderedPageBreak/>
              <w:t>Maine Reference</w:t>
            </w:r>
            <w:r w:rsidRPr="000870E7">
              <w:rPr>
                <w:b/>
              </w:rPr>
              <w:t xml:space="preserve"> </w:t>
            </w:r>
            <w:r w:rsidRPr="00C92D04">
              <w:rPr>
                <w:b/>
              </w:rPr>
              <w:t>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4554FCD8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AA0295">
              <w:rPr>
                <w:b/>
              </w:rPr>
              <w:t>44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771A38" w14:paraId="1A626B70" w14:textId="0D971632" w:rsidTr="00771A38">
        <w:tc>
          <w:tcPr>
            <w:tcW w:w="5575" w:type="dxa"/>
          </w:tcPr>
          <w:p w14:paraId="7E2338C5" w14:textId="589025A3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2421B9F9" w:rsidR="00771A38" w:rsidRPr="009B75A7" w:rsidRDefault="00191854" w:rsidP="000C44D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7A616B01" w:rsidR="00771A38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  <w:tr w:rsidR="000C44D2" w14:paraId="79FC95FF" w14:textId="106EC5F6" w:rsidTr="00925C11">
        <w:tc>
          <w:tcPr>
            <w:tcW w:w="5575" w:type="dxa"/>
          </w:tcPr>
          <w:p w14:paraId="4CC06AD3" w14:textId="2DD8016C" w:rsidR="000C44D2" w:rsidRDefault="000C44D2" w:rsidP="000C44D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3F0CC3FD" w:rsidR="000C44D2" w:rsidRPr="009B75A7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74665">
              <w:rPr>
                <w:bCs/>
              </w:rPr>
              <w:t xml:space="preserve"> (</w:t>
            </w:r>
            <w:r>
              <w:rPr>
                <w:bCs/>
              </w:rPr>
              <w:t>0</w:t>
            </w:r>
            <w:r w:rsidR="00674665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4AD303C" w14:textId="787A3CA0" w:rsidR="000C44D2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  <w:tr w:rsidR="000C44D2" w14:paraId="2E75BF8A" w14:textId="77777777" w:rsidTr="00925C11">
        <w:tc>
          <w:tcPr>
            <w:tcW w:w="5575" w:type="dxa"/>
          </w:tcPr>
          <w:p w14:paraId="0D75F44B" w14:textId="2260B2B0" w:rsidR="000C44D2" w:rsidRDefault="000C44D2" w:rsidP="000C44D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C44D2" w:rsidRPr="000C44D2" w:rsidRDefault="000C44D2" w:rsidP="000C44D2">
            <w:pPr>
              <w:jc w:val="center"/>
              <w:rPr>
                <w:bCs/>
              </w:rPr>
            </w:pPr>
          </w:p>
        </w:tc>
      </w:tr>
      <w:tr w:rsidR="000C44D2" w14:paraId="1E744110" w14:textId="77777777" w:rsidTr="00925C11">
        <w:tc>
          <w:tcPr>
            <w:tcW w:w="5575" w:type="dxa"/>
          </w:tcPr>
          <w:p w14:paraId="3F54D01C" w14:textId="386923F8" w:rsidR="000C44D2" w:rsidRPr="00615AE8" w:rsidRDefault="00BA3739" w:rsidP="000C44D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33C09E2F" w14:textId="712F1669" w:rsidR="000C44D2" w:rsidRPr="009B75A7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7F814D02" w14:textId="170EEA98" w:rsidR="000C44D2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  <w:tr w:rsidR="000C44D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C44D2" w:rsidRDefault="00BA3739" w:rsidP="000C44D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13332C4F" w:rsidR="000C44D2" w:rsidRPr="009B75A7" w:rsidRDefault="00674665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6613B8BF" w:rsidR="000C44D2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050158" w:rsidRDefault="000C44D2" w:rsidP="000C44D2">
      <w:pPr>
        <w:jc w:val="center"/>
        <w:rPr>
          <w:noProof/>
        </w:rPr>
      </w:pPr>
      <w:r w:rsidRPr="006E5BC1">
        <w:rPr>
          <w:b/>
          <w:sz w:val="16"/>
          <w:szCs w:val="16"/>
        </w:rPr>
        <w:t>Influenza</w:t>
      </w:r>
      <w:r w:rsidR="002D7B7A" w:rsidRPr="006E5BC1">
        <w:rPr>
          <w:b/>
          <w:sz w:val="16"/>
          <w:szCs w:val="16"/>
        </w:rPr>
        <w:t xml:space="preserve"> Positive</w:t>
      </w:r>
      <w:r w:rsidR="002D7B7A">
        <w:rPr>
          <w:b/>
          <w:sz w:val="16"/>
          <w:szCs w:val="16"/>
        </w:rPr>
        <w:t xml:space="preserve"> Tests</w:t>
      </w:r>
      <w:r w:rsidRPr="00050158">
        <w:rPr>
          <w:b/>
          <w:sz w:val="16"/>
          <w:szCs w:val="16"/>
        </w:rPr>
        <w:t>, Maine</w:t>
      </w:r>
      <w:r>
        <w:rPr>
          <w:b/>
          <w:sz w:val="16"/>
          <w:szCs w:val="16"/>
        </w:rPr>
        <w:t xml:space="preserve"> Reference Labs – Maine, 202</w:t>
      </w:r>
      <w:r w:rsidR="00491B0F">
        <w:rPr>
          <w:b/>
          <w:sz w:val="16"/>
          <w:szCs w:val="16"/>
        </w:rPr>
        <w:t>4</w:t>
      </w:r>
      <w:r w:rsidRPr="0005015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1FA384F9" w14:textId="038F51FB" w:rsidR="00615AE8" w:rsidRDefault="00615AE8" w:rsidP="00A93A27">
      <w:pPr>
        <w:jc w:val="center"/>
        <w:rPr>
          <w:b/>
        </w:rPr>
      </w:pP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5B1CF067">
            <wp:extent cx="4270248" cy="1901952"/>
            <wp:effectExtent l="0" t="0" r="0" b="317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6481A683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AA0295">
              <w:rPr>
                <w:b/>
              </w:rPr>
              <w:t>44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1AAF7A29" w:rsidR="0025564A" w:rsidRPr="009B75A7" w:rsidRDefault="00A15952" w:rsidP="000C44D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15" w:type="dxa"/>
          </w:tcPr>
          <w:p w14:paraId="615F4E2C" w14:textId="6D251609" w:rsidR="0025564A" w:rsidRPr="004A56EB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15952">
              <w:rPr>
                <w:bCs/>
              </w:rPr>
              <w:t>3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43C83117" w:rsidR="0025564A" w:rsidRPr="009B75A7" w:rsidRDefault="00A15952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3EC6D09F" w14:textId="0F2F9C55" w:rsidR="0025564A" w:rsidRPr="004A56EB" w:rsidRDefault="001C7959" w:rsidP="000C44D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2A0A2AA8" w:rsidR="0025564A" w:rsidRPr="009B75A7" w:rsidRDefault="00674665" w:rsidP="00FA5E3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1C7959">
              <w:rPr>
                <w:bCs/>
              </w:rPr>
              <w:t>1</w:t>
            </w:r>
            <w:r w:rsidR="000D5E55" w:rsidRPr="009B75A7">
              <w:rPr>
                <w:bCs/>
              </w:rPr>
              <w:t xml:space="preserve"> </w:t>
            </w:r>
            <w:r w:rsidR="00BC5789" w:rsidRPr="009B75A7">
              <w:rPr>
                <w:bCs/>
              </w:rPr>
              <w:t>(</w:t>
            </w:r>
            <w:r w:rsidR="001C7959">
              <w:rPr>
                <w:bCs/>
              </w:rPr>
              <w:t>50</w:t>
            </w:r>
            <w:r w:rsidR="00BC5789" w:rsidRPr="009B75A7">
              <w:rPr>
                <w:bCs/>
              </w:rPr>
              <w:t>%</w:t>
            </w:r>
            <w:r w:rsidR="005B36F3" w:rsidRPr="009B75A7">
              <w:rPr>
                <w:bCs/>
              </w:rPr>
              <w:t>)</w:t>
            </w:r>
          </w:p>
        </w:tc>
        <w:tc>
          <w:tcPr>
            <w:tcW w:w="2515" w:type="dxa"/>
          </w:tcPr>
          <w:p w14:paraId="3F0901ED" w14:textId="0D193798" w:rsidR="0025564A" w:rsidRPr="004A56EB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15952">
              <w:rPr>
                <w:bCs/>
              </w:rPr>
              <w:t>6</w:t>
            </w:r>
            <w:r w:rsidR="006D3098" w:rsidRPr="004A56EB">
              <w:rPr>
                <w:bCs/>
              </w:rPr>
              <w:t xml:space="preserve"> </w:t>
            </w:r>
            <w:r w:rsidR="002E3C1F" w:rsidRPr="004A56EB">
              <w:rPr>
                <w:bCs/>
              </w:rPr>
              <w:t>(</w:t>
            </w:r>
            <w:r w:rsidR="001C7959">
              <w:rPr>
                <w:bCs/>
              </w:rPr>
              <w:t>7</w:t>
            </w:r>
            <w:r w:rsidR="00A15952">
              <w:rPr>
                <w:bCs/>
              </w:rPr>
              <w:t>3</w:t>
            </w:r>
            <w:r w:rsidR="002E3C1F" w:rsidRPr="004A56EB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73C16329" w:rsidR="0025564A" w:rsidRPr="009B75A7" w:rsidRDefault="00674665" w:rsidP="00674665">
            <w:pPr>
              <w:rPr>
                <w:bCs/>
              </w:rPr>
            </w:pPr>
            <w:r>
              <w:rPr>
                <w:bCs/>
              </w:rPr>
              <w:t xml:space="preserve">              </w:t>
            </w:r>
            <w:r w:rsidR="001C7959">
              <w:rPr>
                <w:bCs/>
              </w:rPr>
              <w:t xml:space="preserve"> 1</w:t>
            </w:r>
            <w:r>
              <w:rPr>
                <w:bCs/>
              </w:rPr>
              <w:t xml:space="preserve"> </w:t>
            </w:r>
            <w:r w:rsidR="005B36F3" w:rsidRPr="009B75A7">
              <w:rPr>
                <w:bCs/>
              </w:rPr>
              <w:t>(</w:t>
            </w:r>
            <w:r w:rsidR="001C7959">
              <w:rPr>
                <w:bCs/>
              </w:rPr>
              <w:t>50</w:t>
            </w:r>
            <w:r w:rsidR="005B36F3" w:rsidRPr="009B75A7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17EAF02A" w:rsidR="0025564A" w:rsidRPr="004A56EB" w:rsidRDefault="00A15952" w:rsidP="000C44D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6D3098" w:rsidRPr="004A56EB">
              <w:rPr>
                <w:bCs/>
              </w:rPr>
              <w:t xml:space="preserve"> </w:t>
            </w:r>
            <w:r w:rsidR="00591E29">
              <w:rPr>
                <w:bCs/>
              </w:rPr>
              <w:t>(</w:t>
            </w:r>
            <w:r w:rsidR="001C7959">
              <w:rPr>
                <w:bCs/>
              </w:rPr>
              <w:t>2</w:t>
            </w:r>
            <w:r>
              <w:rPr>
                <w:bCs/>
              </w:rPr>
              <w:t>7</w:t>
            </w:r>
            <w:r w:rsidR="000A11BE">
              <w:rPr>
                <w:bCs/>
              </w:rPr>
              <w:t>%</w:t>
            </w:r>
            <w:r w:rsidR="002E3C1F" w:rsidRPr="004A56EB">
              <w:rPr>
                <w:bCs/>
              </w:rPr>
              <w:t>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050158" w:rsidRDefault="00D2651A" w:rsidP="002E3C1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Total R</w:t>
      </w:r>
      <w:r w:rsidR="000670A4" w:rsidRPr="00F662B6">
        <w:rPr>
          <w:b/>
          <w:sz w:val="16"/>
          <w:szCs w:val="16"/>
        </w:rPr>
        <w:t xml:space="preserve">eported </w:t>
      </w:r>
      <w:r w:rsidR="00770445" w:rsidRPr="00F662B6">
        <w:rPr>
          <w:b/>
          <w:sz w:val="16"/>
          <w:szCs w:val="16"/>
        </w:rPr>
        <w:t>Positive</w:t>
      </w:r>
      <w:r w:rsidR="00770445" w:rsidRPr="00050158">
        <w:rPr>
          <w:b/>
          <w:sz w:val="16"/>
          <w:szCs w:val="16"/>
        </w:rPr>
        <w:t xml:space="preserve"> Influenza Tests – Maine, 20</w:t>
      </w:r>
      <w:r w:rsidR="00FD4E5B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8346EE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10364A78" w14:textId="24EECB01" w:rsidR="00A93A27" w:rsidRDefault="00216690" w:rsidP="00A93A27">
      <w:pPr>
        <w:jc w:val="center"/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77EE99A9" wp14:editId="5CCA219D">
            <wp:extent cx="4270248" cy="1901952"/>
            <wp:effectExtent l="0" t="0" r="0" b="3175"/>
            <wp:docPr id="11810090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77777777" w:rsidR="0027262B" w:rsidRPr="00050158" w:rsidRDefault="0027262B" w:rsidP="0027262B">
      <w:pPr>
        <w:pStyle w:val="Default"/>
        <w:rPr>
          <w:sz w:val="23"/>
          <w:szCs w:val="23"/>
        </w:rPr>
      </w:pPr>
      <w:r w:rsidRPr="00A547DD">
        <w:rPr>
          <w:b/>
          <w:bCs/>
          <w:sz w:val="23"/>
          <w:szCs w:val="23"/>
        </w:rPr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05A2D2A8" w:rsidR="00697B1E" w:rsidRPr="00050158" w:rsidRDefault="00754DFC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0</w:t>
      </w:r>
      <w:r w:rsidR="00697B1E" w:rsidRPr="00050158">
        <w:rPr>
          <w:sz w:val="23"/>
          <w:szCs w:val="23"/>
        </w:rPr>
        <w:t xml:space="preserve">% of influenza A/H1N1 samples </w:t>
      </w:r>
      <w:r w:rsidR="00677C21">
        <w:rPr>
          <w:sz w:val="23"/>
          <w:szCs w:val="23"/>
        </w:rPr>
        <w:t>with</w:t>
      </w:r>
      <w:r w:rsidR="00677C21" w:rsidRPr="00050158">
        <w:rPr>
          <w:sz w:val="23"/>
          <w:szCs w:val="23"/>
        </w:rPr>
        <w:t xml:space="preserve"> </w:t>
      </w:r>
      <w:r w:rsidR="00677C21">
        <w:rPr>
          <w:sz w:val="23"/>
          <w:szCs w:val="23"/>
        </w:rPr>
        <w:t xml:space="preserve">cell-grown vaccine antibodies; </w:t>
      </w:r>
      <w:r>
        <w:rPr>
          <w:sz w:val="23"/>
          <w:szCs w:val="23"/>
        </w:rPr>
        <w:t>0</w:t>
      </w:r>
      <w:r w:rsidR="00677C21">
        <w:rPr>
          <w:sz w:val="23"/>
          <w:szCs w:val="23"/>
        </w:rPr>
        <w:t>% with egg-based vaccine antibodies</w:t>
      </w:r>
    </w:p>
    <w:p w14:paraId="7577406A" w14:textId="12D602BC" w:rsidR="00697B1E" w:rsidRPr="00050158" w:rsidRDefault="00176190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0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697B1E" w:rsidRPr="00050158">
        <w:rPr>
          <w:sz w:val="23"/>
          <w:szCs w:val="23"/>
        </w:rPr>
        <w:t xml:space="preserve"> samples </w:t>
      </w:r>
      <w:r w:rsidR="00AD24D8">
        <w:rPr>
          <w:sz w:val="23"/>
          <w:szCs w:val="23"/>
        </w:rPr>
        <w:t>with</w:t>
      </w:r>
      <w:r w:rsidR="00697B1E" w:rsidRPr="00050158">
        <w:rPr>
          <w:sz w:val="23"/>
          <w:szCs w:val="23"/>
        </w:rPr>
        <w:t xml:space="preserve"> </w:t>
      </w:r>
      <w:r w:rsidR="008C541B">
        <w:rPr>
          <w:sz w:val="23"/>
          <w:szCs w:val="23"/>
        </w:rPr>
        <w:t>cell</w:t>
      </w:r>
      <w:r w:rsidR="005C43E5">
        <w:rPr>
          <w:sz w:val="23"/>
          <w:szCs w:val="23"/>
        </w:rPr>
        <w:t xml:space="preserve">-grown </w:t>
      </w:r>
      <w:r w:rsidR="008C541B">
        <w:rPr>
          <w:sz w:val="23"/>
          <w:szCs w:val="23"/>
        </w:rPr>
        <w:t>vac</w:t>
      </w:r>
      <w:r w:rsidR="005C43E5">
        <w:rPr>
          <w:sz w:val="23"/>
          <w:szCs w:val="23"/>
        </w:rPr>
        <w:t xml:space="preserve">cine </w:t>
      </w:r>
      <w:r w:rsidR="00FF4310">
        <w:rPr>
          <w:sz w:val="23"/>
          <w:szCs w:val="23"/>
        </w:rPr>
        <w:t xml:space="preserve">antibodies; </w:t>
      </w:r>
      <w:r>
        <w:rPr>
          <w:sz w:val="23"/>
          <w:szCs w:val="23"/>
        </w:rPr>
        <w:t>0</w:t>
      </w:r>
      <w:r w:rsidR="008C541B">
        <w:rPr>
          <w:sz w:val="23"/>
          <w:szCs w:val="23"/>
        </w:rPr>
        <w:t>%</w:t>
      </w:r>
      <w:r w:rsidR="00FF4310">
        <w:rPr>
          <w:sz w:val="23"/>
          <w:szCs w:val="23"/>
        </w:rPr>
        <w:t xml:space="preserve"> with</w:t>
      </w:r>
      <w:r w:rsidR="008C541B">
        <w:rPr>
          <w:sz w:val="23"/>
          <w:szCs w:val="23"/>
        </w:rPr>
        <w:t xml:space="preserve"> egg-based vaccine</w:t>
      </w:r>
      <w:r w:rsidR="005C43E5">
        <w:rPr>
          <w:sz w:val="23"/>
          <w:szCs w:val="23"/>
        </w:rPr>
        <w:t xml:space="preserve"> antibodies</w:t>
      </w:r>
    </w:p>
    <w:p w14:paraId="7D9FDD77" w14:textId="3810D690" w:rsidR="00FF4310" w:rsidRPr="00754DFC" w:rsidRDefault="00754DFC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 influenza B/</w:t>
      </w:r>
      <w:r>
        <w:rPr>
          <w:sz w:val="23"/>
          <w:szCs w:val="23"/>
        </w:rPr>
        <w:t>Victoria</w:t>
      </w:r>
      <w:r w:rsidRPr="00FF4310">
        <w:rPr>
          <w:sz w:val="23"/>
          <w:szCs w:val="23"/>
        </w:rPr>
        <w:t xml:space="preserve"> samples were available for characterization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5039D1" w14:textId="1AAC60F9" w:rsidR="004A43D7" w:rsidRDefault="004A43D7" w:rsidP="004A2188">
      <w:pPr>
        <w:shd w:val="clear" w:color="auto" w:fill="FFFFFF" w:themeFill="background1"/>
        <w:rPr>
          <w:b/>
          <w:noProof/>
        </w:rPr>
        <w:sectPr w:rsidR="004A43D7" w:rsidSect="001341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2D62D6" w14:textId="77777777" w:rsidR="00ED0D31" w:rsidRDefault="00ED0D31" w:rsidP="00097393">
      <w:pPr>
        <w:shd w:val="clear" w:color="auto" w:fill="FFFFFF" w:themeFill="background1"/>
        <w:rPr>
          <w:b/>
          <w:noProof/>
        </w:rPr>
        <w:sectPr w:rsidR="00ED0D31" w:rsidSect="004D10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4850BB69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lastRenderedPageBreak/>
        <w:t xml:space="preserve">Weekly County-level Influenza, Maine, Week </w:t>
      </w:r>
      <w:r w:rsidR="00AA0295">
        <w:rPr>
          <w:b/>
          <w:noProof/>
        </w:rPr>
        <w:t>44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2863C0" w:rsidRDefault="004A43D7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2863C0" w:rsidRDefault="00266949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4A43D7"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  <w:r w:rsidR="008767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Severity </w:t>
            </w:r>
            <w:r w:rsidR="00266949" w:rsidRPr="00651870">
              <w:rPr>
                <w:rFonts w:ascii="Arial" w:hAnsi="Arial" w:cs="Arial"/>
                <w:b/>
                <w:bCs/>
                <w:sz w:val="20"/>
                <w:szCs w:val="20"/>
              </w:rPr>
              <w:t>Estimate</w:t>
            </w:r>
            <w:r w:rsidR="007E4790" w:rsidRPr="0065187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§</w:t>
            </w:r>
          </w:p>
        </w:tc>
      </w:tr>
      <w:tr w:rsidR="007A18B9" w:rsidRPr="002863C0" w14:paraId="203AA38F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0A77C2EE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6CAD37E3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37A6E1D1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Sustained Increase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4B8C8E3B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7A18B9" w:rsidRPr="002863C0" w14:paraId="59C7FA2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05D47194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32320E88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4AC49B04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3375AE55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7A18B9" w:rsidRPr="002863C0" w14:paraId="4220CEE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0531CE7F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28E4EB22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6FD931E5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5BCCD26B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7A18B9" w:rsidRPr="002863C0" w14:paraId="311B080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0BF9CB08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4BA737EE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3A43633C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06656B67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7A18B9" w:rsidRPr="002863C0" w14:paraId="6813F2B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335A0024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14E47FBD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08FBB78D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45341827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7A18B9" w:rsidRPr="002863C0" w14:paraId="1A9FB1D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5C10ECAA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09C11902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675FA671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680B611E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7A18B9" w:rsidRPr="002863C0" w14:paraId="70509802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057E1C32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0E41D215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03B0EAFC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0617907B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</w:tr>
      <w:tr w:rsidR="007A18B9" w:rsidRPr="002863C0" w14:paraId="0BB5CCC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60A917F1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42FFA620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13466663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2B92C1CE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7A18B9" w:rsidRPr="002863C0" w14:paraId="13039716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3F29517C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41ABC9A3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4394F2DB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049944D3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7A18B9" w:rsidRPr="002863C0" w14:paraId="6E6E322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56E4B55D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57364B9D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56F078E1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1023B7AB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7A18B9" w:rsidRPr="002863C0" w14:paraId="3C0D1A5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0C4AA96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65203DF4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3B91BB0E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3DCF1B00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7A18B9" w:rsidRPr="002863C0" w14:paraId="75F3757F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29C09AB1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0C1B79D6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06CBEC61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6BA465BF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7A18B9" w:rsidRPr="002863C0" w14:paraId="39E7D0EC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5A5675DE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31807C61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77C8C514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647DA2CE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7A18B9" w:rsidRPr="002863C0" w14:paraId="7BA5E65B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62C4F6FE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3E39D0F1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0FC26A05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7F3A4A20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7A18B9" w:rsidRPr="002863C0" w14:paraId="07C5CFFD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0C69C862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7CA6006D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6A3963D5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36B2E0A1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7A18B9" w:rsidRPr="002863C0" w14:paraId="3B79B1F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6935D479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39FC534A" w:rsidR="007A18B9" w:rsidRPr="005C1B5E" w:rsidRDefault="007A18B9" w:rsidP="007A18B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44CA5ED7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EEA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16D2160D" w:rsidR="007A18B9" w:rsidRPr="005C1B5E" w:rsidRDefault="007A18B9" w:rsidP="007A18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AD9" w:rsidRPr="002863C0" w14:paraId="0BBB486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1655E5AD" w:rsidR="009C5AD9" w:rsidRPr="005C1B5E" w:rsidRDefault="001C795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3E12A38D" w:rsidR="009C5AD9" w:rsidRPr="005C1B5E" w:rsidRDefault="003A6FA3" w:rsidP="009C5AD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497CC9B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1C4FEDA2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2AD4CD9E" w14:textId="147F7B75" w:rsidR="00770445" w:rsidRDefault="007E4790" w:rsidP="00770445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3B23092D" w14:textId="7F38D94F" w:rsidR="00786501" w:rsidRDefault="00786501" w:rsidP="00F66B31">
      <w:pPr>
        <w:jc w:val="center"/>
        <w:rPr>
          <w:b/>
          <w:noProof/>
        </w:rPr>
      </w:pPr>
    </w:p>
    <w:p w14:paraId="4AD45B47" w14:textId="77777777" w:rsidR="00087213" w:rsidRDefault="00087213" w:rsidP="00F66B31">
      <w:pPr>
        <w:jc w:val="center"/>
        <w:rPr>
          <w:b/>
          <w:noProof/>
        </w:rPr>
        <w:sectPr w:rsidR="00087213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82AED1" w14:textId="39A53164" w:rsidR="005C1B5E" w:rsidRDefault="007A18B9" w:rsidP="005C1B5E">
      <w:pPr>
        <w:rPr>
          <w:b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4F9A7B6" wp14:editId="3526DF12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2935605" cy="3914775"/>
            <wp:effectExtent l="0" t="0" r="0" b="9525"/>
            <wp:wrapSquare wrapText="bothSides"/>
            <wp:docPr id="2070677188" name="Picture 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677188" name="Picture 3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3A57">
        <w:rPr>
          <w:b/>
          <w:noProof/>
          <w:sz w:val="20"/>
          <w:szCs w:val="20"/>
        </w:rPr>
        <w:t xml:space="preserve">     </w:t>
      </w:r>
      <w:r w:rsidR="002C2C32">
        <w:rPr>
          <w:b/>
          <w:noProof/>
          <w:sz w:val="20"/>
          <w:szCs w:val="20"/>
        </w:rPr>
        <w:t xml:space="preserve">    </w:t>
      </w:r>
      <w:r w:rsidR="00770445" w:rsidRPr="00CE3A57">
        <w:rPr>
          <w:b/>
          <w:noProof/>
          <w:sz w:val="20"/>
          <w:szCs w:val="20"/>
        </w:rPr>
        <w:t xml:space="preserve">Influenza </w:t>
      </w:r>
      <w:r w:rsidR="00087213" w:rsidRPr="00CE3A57">
        <w:rPr>
          <w:b/>
          <w:noProof/>
          <w:sz w:val="20"/>
          <w:szCs w:val="20"/>
        </w:rPr>
        <w:t>Activity</w:t>
      </w:r>
      <w:r w:rsidR="00266949" w:rsidRPr="00CE3A57">
        <w:rPr>
          <w:b/>
          <w:noProof/>
          <w:sz w:val="20"/>
          <w:szCs w:val="20"/>
        </w:rPr>
        <w:t xml:space="preserve"> </w:t>
      </w:r>
      <w:r w:rsidR="00087213" w:rsidRPr="00CE3A57">
        <w:rPr>
          <w:b/>
          <w:noProof/>
          <w:sz w:val="20"/>
          <w:szCs w:val="20"/>
        </w:rPr>
        <w:t>Trends</w:t>
      </w:r>
      <w:r w:rsidR="00770445" w:rsidRPr="00CE3A57">
        <w:rPr>
          <w:b/>
          <w:noProof/>
          <w:sz w:val="20"/>
          <w:szCs w:val="20"/>
        </w:rPr>
        <w:t xml:space="preserve">,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AA0295">
        <w:rPr>
          <w:b/>
          <w:noProof/>
          <w:sz w:val="20"/>
          <w:szCs w:val="20"/>
        </w:rPr>
        <w:t>44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</w:t>
      </w:r>
    </w:p>
    <w:p w14:paraId="3B2DC70C" w14:textId="715A4D8B" w:rsidR="00770445" w:rsidRPr="00CE3A57" w:rsidRDefault="00BD2082" w:rsidP="00CE3A57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                   </w:t>
      </w:r>
    </w:p>
    <w:p w14:paraId="38C2DFEB" w14:textId="7975DCD1" w:rsidR="00ED0D31" w:rsidRDefault="00CE3A57" w:rsidP="00CE3A57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</w:t>
      </w:r>
    </w:p>
    <w:p w14:paraId="6193D929" w14:textId="35589A1D" w:rsidR="00BD2082" w:rsidRDefault="00BD2082" w:rsidP="00CE3A57">
      <w:pPr>
        <w:rPr>
          <w:b/>
          <w:noProof/>
          <w:sz w:val="20"/>
          <w:szCs w:val="20"/>
        </w:rPr>
      </w:pPr>
    </w:p>
    <w:p w14:paraId="79A827E5" w14:textId="77777777" w:rsidR="007A18B9" w:rsidRDefault="007A18B9" w:rsidP="007A18B9">
      <w:pPr>
        <w:rPr>
          <w:b/>
          <w:noProof/>
          <w:sz w:val="20"/>
          <w:szCs w:val="20"/>
        </w:rPr>
      </w:pPr>
      <w:r w:rsidRPr="00CE3A57">
        <w:rPr>
          <w:b/>
          <w:noProof/>
          <w:sz w:val="20"/>
          <w:szCs w:val="20"/>
        </w:rPr>
        <w:t xml:space="preserve">Influenza Severity Estimates, Maine Week  </w:t>
      </w:r>
      <w:r>
        <w:rPr>
          <w:b/>
          <w:noProof/>
          <w:sz w:val="20"/>
          <w:szCs w:val="20"/>
        </w:rPr>
        <w:t>44</w:t>
      </w:r>
    </w:p>
    <w:p w14:paraId="6DB768D9" w14:textId="08317EE7" w:rsidR="00BD2082" w:rsidRDefault="007A18B9" w:rsidP="00CE3A57">
      <w:pPr>
        <w:rPr>
          <w:b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29872B9" wp14:editId="510E8591">
            <wp:simplePos x="0" y="0"/>
            <wp:positionH relativeFrom="column">
              <wp:align>left</wp:align>
            </wp:positionH>
            <wp:positionV relativeFrom="paragraph">
              <wp:posOffset>153670</wp:posOffset>
            </wp:positionV>
            <wp:extent cx="2966720" cy="3956050"/>
            <wp:effectExtent l="0" t="0" r="5080" b="6350"/>
            <wp:wrapSquare wrapText="bothSides"/>
            <wp:docPr id="454570457" name="Picture 4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70457" name="Picture 4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4D843" w14:textId="05A78F4F" w:rsidR="00BD2082" w:rsidRDefault="00BD2082" w:rsidP="00CE3A57">
      <w:pPr>
        <w:rPr>
          <w:b/>
          <w:noProof/>
          <w:sz w:val="20"/>
          <w:szCs w:val="20"/>
        </w:rPr>
      </w:pPr>
    </w:p>
    <w:p w14:paraId="17D69CC0" w14:textId="5DFAFB49" w:rsidR="00BD2082" w:rsidRDefault="00BD2082" w:rsidP="00CE3A57">
      <w:pPr>
        <w:rPr>
          <w:b/>
          <w:noProof/>
          <w:sz w:val="20"/>
          <w:szCs w:val="20"/>
        </w:rPr>
      </w:pPr>
    </w:p>
    <w:p w14:paraId="31F92381" w14:textId="4E494D37" w:rsidR="00BD2082" w:rsidRDefault="00BD2082" w:rsidP="00CE3A57">
      <w:pPr>
        <w:rPr>
          <w:b/>
          <w:noProof/>
          <w:sz w:val="20"/>
          <w:szCs w:val="20"/>
        </w:rPr>
      </w:pPr>
    </w:p>
    <w:p w14:paraId="04AA215E" w14:textId="39BB412D" w:rsidR="00BD2082" w:rsidRDefault="00BD2082" w:rsidP="00CE3A57">
      <w:pPr>
        <w:rPr>
          <w:b/>
          <w:noProof/>
          <w:sz w:val="20"/>
          <w:szCs w:val="20"/>
        </w:rPr>
      </w:pPr>
    </w:p>
    <w:p w14:paraId="52E87FCD" w14:textId="3CC62EE5" w:rsidR="00BD2082" w:rsidRDefault="00BD2082" w:rsidP="00CE3A57">
      <w:pPr>
        <w:rPr>
          <w:b/>
          <w:noProof/>
          <w:sz w:val="20"/>
          <w:szCs w:val="20"/>
        </w:rPr>
      </w:pPr>
    </w:p>
    <w:p w14:paraId="732F157A" w14:textId="7D82ED25" w:rsidR="00BD2082" w:rsidRDefault="00BD2082" w:rsidP="00CE3A57">
      <w:pPr>
        <w:rPr>
          <w:b/>
          <w:noProof/>
          <w:sz w:val="20"/>
          <w:szCs w:val="20"/>
        </w:rPr>
      </w:pPr>
    </w:p>
    <w:p w14:paraId="78B1DF52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A837E06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C0A967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EEF9B85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0BF5805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1615C96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678615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3466E4F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58176D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3DC57279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5FB16DDE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ADED13F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C064F0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6AA7022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1B6B9EF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4C4A5A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0C33E18" w14:textId="21EACF45" w:rsidR="00BD2082" w:rsidRDefault="00BD2082" w:rsidP="00CE3A57">
      <w:pPr>
        <w:rPr>
          <w:b/>
          <w:noProof/>
          <w:sz w:val="20"/>
          <w:szCs w:val="20"/>
        </w:rPr>
      </w:pPr>
    </w:p>
    <w:p w14:paraId="207B3EBC" w14:textId="7651D692" w:rsidR="00BD2082" w:rsidRDefault="00BD2082" w:rsidP="00CE3A57">
      <w:pPr>
        <w:rPr>
          <w:b/>
          <w:noProof/>
          <w:sz w:val="20"/>
          <w:szCs w:val="20"/>
        </w:rPr>
      </w:pPr>
    </w:p>
    <w:p w14:paraId="4ECE933E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961B589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17055CD3" w14:textId="3C01CBF3" w:rsidR="00BD2082" w:rsidRPr="00CE3A57" w:rsidRDefault="00BD2082" w:rsidP="00CE3A57">
      <w:pPr>
        <w:rPr>
          <w:b/>
          <w:noProof/>
          <w:sz w:val="20"/>
          <w:szCs w:val="20"/>
        </w:rPr>
        <w:sectPr w:rsidR="00BD2082" w:rsidRPr="00CE3A57" w:rsidSect="000872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639F5B1" w14:textId="1A9ADD1D" w:rsidR="00770445" w:rsidRPr="00050158" w:rsidRDefault="005A7C92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t xml:space="preserve"> </w:t>
      </w:r>
    </w:p>
    <w:p w14:paraId="27A69DD8" w14:textId="7576BD8D" w:rsidR="00087213" w:rsidRDefault="00087213" w:rsidP="00F66B31">
      <w:pPr>
        <w:rPr>
          <w:b/>
        </w:rPr>
      </w:pPr>
      <w:r>
        <w:rPr>
          <w:b/>
        </w:rPr>
        <w:t xml:space="preserve"> </w:t>
      </w:r>
    </w:p>
    <w:p w14:paraId="10AA95C4" w14:textId="3F949EA5" w:rsidR="002464DE" w:rsidRDefault="005D539F" w:rsidP="00F66B31">
      <w:pPr>
        <w:rPr>
          <w:b/>
        </w:r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13DE3E74" w14:textId="77777777" w:rsidR="00FB6C81" w:rsidRDefault="00FB6C81" w:rsidP="00A360C3">
      <w:pPr>
        <w:tabs>
          <w:tab w:val="left" w:pos="1080"/>
        </w:tabs>
        <w:rPr>
          <w:b/>
        </w:rPr>
        <w:sectPr w:rsidR="00FB6C81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BD76027" w14:textId="33730754" w:rsidR="00A04C20" w:rsidRDefault="00A04C20" w:rsidP="00E146EE">
      <w:pPr>
        <w:tabs>
          <w:tab w:val="left" w:pos="1080"/>
        </w:tabs>
        <w:jc w:val="center"/>
        <w:rPr>
          <w:b/>
        </w:rPr>
        <w:sectPr w:rsidR="00A04C20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63461B99" w14:textId="319FDEE2" w:rsidR="00A04C20" w:rsidRDefault="00A04C20" w:rsidP="00A04C20">
      <w:pPr>
        <w:rPr>
          <w:b/>
          <w:sz w:val="16"/>
        </w:rPr>
      </w:pPr>
    </w:p>
    <w:p w14:paraId="4C8B97CB" w14:textId="3191A8ED" w:rsidR="00A04C20" w:rsidRDefault="00A04C20" w:rsidP="00A04C20">
      <w:pPr>
        <w:rPr>
          <w:b/>
          <w:sz w:val="16"/>
          <w:szCs w:val="16"/>
        </w:rPr>
      </w:pPr>
    </w:p>
    <w:p w14:paraId="7DA61434" w14:textId="77777777" w:rsidR="00A04C20" w:rsidRDefault="00A04C20" w:rsidP="00A04C20">
      <w:pPr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1855"/>
        <w:tblW w:w="0" w:type="auto"/>
        <w:tblLook w:val="04A0" w:firstRow="1" w:lastRow="0" w:firstColumn="1" w:lastColumn="0" w:noHBand="0" w:noVBand="1"/>
      </w:tblPr>
      <w:tblGrid>
        <w:gridCol w:w="1870"/>
        <w:gridCol w:w="829"/>
        <w:gridCol w:w="829"/>
        <w:gridCol w:w="829"/>
      </w:tblGrid>
      <w:tr w:rsidR="005C1B5E" w14:paraId="72CA8E64" w14:textId="77777777" w:rsidTr="005C1B5E">
        <w:tc>
          <w:tcPr>
            <w:tcW w:w="1870" w:type="dxa"/>
            <w:vMerge w:val="restart"/>
            <w:shd w:val="clear" w:color="auto" w:fill="D9D9D9" w:themeFill="background1" w:themeFillShade="D9"/>
          </w:tcPr>
          <w:p w14:paraId="34F66ECA" w14:textId="77777777" w:rsidR="005C1B5E" w:rsidRPr="00E146EE" w:rsidRDefault="005C1B5E" w:rsidP="005C1B5E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2487" w:type="dxa"/>
            <w:gridSpan w:val="3"/>
            <w:shd w:val="clear" w:color="auto" w:fill="D9D9D9" w:themeFill="background1" w:themeFillShade="D9"/>
          </w:tcPr>
          <w:p w14:paraId="6D04F8D2" w14:textId="7B4C837C" w:rsidR="005C1B5E" w:rsidRPr="00C76D66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Age (years)</w:t>
            </w:r>
          </w:p>
        </w:tc>
      </w:tr>
      <w:tr w:rsidR="005C1B5E" w14:paraId="376217D8" w14:textId="77777777" w:rsidTr="005C1B5E">
        <w:tc>
          <w:tcPr>
            <w:tcW w:w="1870" w:type="dxa"/>
            <w:vMerge/>
            <w:shd w:val="clear" w:color="auto" w:fill="D9D9D9" w:themeFill="background1" w:themeFillShade="D9"/>
          </w:tcPr>
          <w:p w14:paraId="5FC58724" w14:textId="77777777" w:rsidR="005C1B5E" w:rsidRPr="00E146EE" w:rsidRDefault="005C1B5E" w:rsidP="005C1B5E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37DE50D0" w14:textId="77777777" w:rsidR="005C1B5E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66CF0225" w14:textId="77777777" w:rsidR="005C1B5E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2E922354" w14:textId="77777777" w:rsidR="005C1B5E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Max.</w:t>
            </w:r>
          </w:p>
        </w:tc>
      </w:tr>
      <w:tr w:rsidR="005C1B5E" w14:paraId="084B1E9F" w14:textId="77777777" w:rsidTr="005C1B5E">
        <w:tc>
          <w:tcPr>
            <w:tcW w:w="1870" w:type="dxa"/>
          </w:tcPr>
          <w:p w14:paraId="49399A80" w14:textId="77777777" w:rsidR="005C1B5E" w:rsidRPr="00E146EE" w:rsidRDefault="005C1B5E" w:rsidP="005C1B5E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Cases</w:t>
            </w:r>
          </w:p>
        </w:tc>
        <w:tc>
          <w:tcPr>
            <w:tcW w:w="829" w:type="dxa"/>
            <w:vAlign w:val="bottom"/>
          </w:tcPr>
          <w:p w14:paraId="41E902F5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2</w:t>
            </w:r>
          </w:p>
        </w:tc>
        <w:tc>
          <w:tcPr>
            <w:tcW w:w="829" w:type="dxa"/>
          </w:tcPr>
          <w:p w14:paraId="23233E68" w14:textId="47FC8BDA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3</w:t>
            </w:r>
            <w:r w:rsidR="00A15952">
              <w:t>9</w:t>
            </w:r>
          </w:p>
        </w:tc>
        <w:tc>
          <w:tcPr>
            <w:tcW w:w="829" w:type="dxa"/>
          </w:tcPr>
          <w:p w14:paraId="1A1DE79C" w14:textId="2155A652" w:rsidR="005C1B5E" w:rsidRPr="00786501" w:rsidRDefault="00A15952" w:rsidP="005C1B5E">
            <w:pPr>
              <w:tabs>
                <w:tab w:val="left" w:pos="1080"/>
              </w:tabs>
              <w:jc w:val="center"/>
            </w:pPr>
            <w:r>
              <w:t>83</w:t>
            </w:r>
          </w:p>
        </w:tc>
      </w:tr>
      <w:tr w:rsidR="005C1B5E" w14:paraId="77C3D7E3" w14:textId="77777777" w:rsidTr="005C1B5E">
        <w:tc>
          <w:tcPr>
            <w:tcW w:w="1870" w:type="dxa"/>
          </w:tcPr>
          <w:p w14:paraId="44E27029" w14:textId="018E358C" w:rsidR="005C1B5E" w:rsidRPr="00E146EE" w:rsidRDefault="005C1B5E" w:rsidP="005C1B5E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Hospita</w:t>
            </w:r>
            <w:r>
              <w:rPr>
                <w:b/>
              </w:rPr>
              <w:t>lizations</w:t>
            </w:r>
          </w:p>
        </w:tc>
        <w:tc>
          <w:tcPr>
            <w:tcW w:w="829" w:type="dxa"/>
            <w:vAlign w:val="bottom"/>
          </w:tcPr>
          <w:p w14:paraId="3DF5A9CA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147F7C82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  <w:tc>
          <w:tcPr>
            <w:tcW w:w="829" w:type="dxa"/>
          </w:tcPr>
          <w:p w14:paraId="79D83DB2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</w:tr>
      <w:tr w:rsidR="005C1B5E" w14:paraId="7CF8C8AE" w14:textId="77777777" w:rsidTr="005C1B5E">
        <w:tc>
          <w:tcPr>
            <w:tcW w:w="1870" w:type="dxa"/>
          </w:tcPr>
          <w:p w14:paraId="2F3E13FB" w14:textId="77777777" w:rsidR="005C1B5E" w:rsidRPr="00E146EE" w:rsidRDefault="005C1B5E" w:rsidP="005C1B5E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Deaths</w:t>
            </w:r>
          </w:p>
        </w:tc>
        <w:tc>
          <w:tcPr>
            <w:tcW w:w="829" w:type="dxa"/>
          </w:tcPr>
          <w:p w14:paraId="7B91490A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0FAC0211" w14:textId="3E0E5DF8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  <w:tc>
          <w:tcPr>
            <w:tcW w:w="829" w:type="dxa"/>
          </w:tcPr>
          <w:p w14:paraId="54D7FC59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</w:tr>
    </w:tbl>
    <w:p w14:paraId="69A62626" w14:textId="77777777" w:rsidR="00A04C20" w:rsidRDefault="00A04C20" w:rsidP="00A04C20">
      <w:pPr>
        <w:rPr>
          <w:b/>
          <w:sz w:val="16"/>
          <w:szCs w:val="16"/>
        </w:rPr>
      </w:pPr>
    </w:p>
    <w:p w14:paraId="5C77826E" w14:textId="77777777" w:rsidR="00FB6C81" w:rsidRDefault="007D25B8" w:rsidP="00F2198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2417E7F0" w14:textId="77777777" w:rsidR="00FB6C81" w:rsidRDefault="00FB6C81" w:rsidP="00F21984">
      <w:pPr>
        <w:jc w:val="center"/>
        <w:rPr>
          <w:b/>
          <w:sz w:val="16"/>
          <w:szCs w:val="16"/>
        </w:rPr>
      </w:pPr>
    </w:p>
    <w:p w14:paraId="21A635AE" w14:textId="77777777" w:rsidR="00A360C3" w:rsidRDefault="00A360C3" w:rsidP="00F21984">
      <w:pPr>
        <w:jc w:val="center"/>
        <w:rPr>
          <w:b/>
          <w:sz w:val="16"/>
          <w:szCs w:val="16"/>
        </w:rPr>
      </w:pPr>
    </w:p>
    <w:p w14:paraId="6A971F2D" w14:textId="77777777" w:rsidR="00A360C3" w:rsidRDefault="00A360C3" w:rsidP="00F21984">
      <w:pPr>
        <w:jc w:val="center"/>
        <w:rPr>
          <w:b/>
          <w:sz w:val="16"/>
          <w:szCs w:val="16"/>
        </w:rPr>
      </w:pPr>
    </w:p>
    <w:p w14:paraId="1D7F3F36" w14:textId="5E1C850B" w:rsidR="00A04C20" w:rsidRDefault="00A360C3" w:rsidP="00343397">
      <w:pPr>
        <w:rPr>
          <w:b/>
          <w:sz w:val="16"/>
          <w:szCs w:val="16"/>
        </w:rPr>
        <w:sectPr w:rsidR="00A04C20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  <w:r>
        <w:rPr>
          <w:b/>
          <w:sz w:val="16"/>
          <w:szCs w:val="16"/>
        </w:rPr>
        <w:t xml:space="preserve">                        </w:t>
      </w:r>
      <w:r w:rsidR="00A04C20" w:rsidRPr="00F662B6">
        <w:rPr>
          <w:b/>
          <w:sz w:val="16"/>
          <w:szCs w:val="16"/>
        </w:rPr>
        <w:t>Positive Influenza</w:t>
      </w:r>
      <w:r w:rsidR="00A04C20" w:rsidRPr="00050158">
        <w:rPr>
          <w:b/>
          <w:sz w:val="16"/>
          <w:szCs w:val="16"/>
        </w:rPr>
        <w:t xml:space="preserve"> Tests by Age</w:t>
      </w:r>
      <w:r w:rsidR="00A04C20">
        <w:rPr>
          <w:b/>
          <w:sz w:val="16"/>
          <w:szCs w:val="16"/>
        </w:rPr>
        <w:t xml:space="preserve"> and Hospitalization Status</w:t>
      </w:r>
      <w:r w:rsidR="00A04C20" w:rsidRPr="00050158">
        <w:rPr>
          <w:b/>
          <w:sz w:val="16"/>
          <w:szCs w:val="16"/>
        </w:rPr>
        <w:t xml:space="preserve"> – Maine, 20</w:t>
      </w:r>
      <w:r w:rsidR="00A04C20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A04C20"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  <w:r w:rsidR="00A04C20" w:rsidRPr="00A04C20">
        <w:rPr>
          <w:noProof/>
        </w:rPr>
        <w:t xml:space="preserve"> </w:t>
      </w:r>
      <w:r w:rsidR="00216690">
        <w:rPr>
          <w:noProof/>
        </w:rPr>
        <w:drawing>
          <wp:inline distT="0" distB="0" distL="0" distR="0" wp14:anchorId="390F90D8" wp14:editId="1B76758C">
            <wp:extent cx="3941064" cy="1901952"/>
            <wp:effectExtent l="0" t="0" r="2540" b="3175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3B2BA50" w14:textId="614DD4A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15C60842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4407723C" w14:textId="33989B4C" w:rsidR="00E146EE" w:rsidRDefault="007E1FFF" w:rsidP="00F21984">
      <w:pPr>
        <w:rPr>
          <w:b/>
        </w:rPr>
      </w:pPr>
      <w:r w:rsidRPr="00F10EF3">
        <w:rPr>
          <w:b/>
        </w:rPr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127BE727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002FB5E1" w:rsidR="00906328" w:rsidRPr="000870E7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3837D2BC" w:rsidR="00906328" w:rsidRPr="00FE11DD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6C007258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7567436F" w14:textId="77777777" w:rsidR="001C779F" w:rsidRPr="00E93A97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  <w:p w14:paraId="1592E00E" w14:textId="77777777" w:rsidR="001C779F" w:rsidRDefault="001C779F" w:rsidP="00906328"/>
                          <w:p w14:paraId="0B951B96" w14:textId="77777777" w:rsidR="00BD2082" w:rsidRDefault="00BD2082" w:rsidP="009063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etc)</w:t>
                      </w:r>
                    </w:p>
                    <w:p w14:paraId="7567436F" w14:textId="77777777" w:rsidR="001C779F" w:rsidRPr="00E93A97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  <w:p w14:paraId="1592E00E" w14:textId="77777777" w:rsidR="001C779F" w:rsidRDefault="001C779F" w:rsidP="00906328"/>
                    <w:p w14:paraId="0B951B96" w14:textId="77777777" w:rsidR="00BD2082" w:rsidRDefault="00BD2082" w:rsidP="00906328"/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3847A584" w14:textId="77777777" w:rsidR="00F91DED" w:rsidRDefault="00F91DED" w:rsidP="00911117">
      <w:pPr>
        <w:tabs>
          <w:tab w:val="left" w:pos="1080"/>
        </w:tabs>
        <w:jc w:val="center"/>
        <w:rPr>
          <w:b/>
        </w:rPr>
      </w:pPr>
    </w:p>
    <w:p w14:paraId="7EBDF5C1" w14:textId="77777777" w:rsidR="00F91DED" w:rsidRDefault="00F91DED" w:rsidP="00911117">
      <w:pPr>
        <w:tabs>
          <w:tab w:val="left" w:pos="1080"/>
        </w:tabs>
        <w:jc w:val="center"/>
        <w:rPr>
          <w:b/>
        </w:rPr>
      </w:pPr>
    </w:p>
    <w:p w14:paraId="3BD2ABA9" w14:textId="77777777" w:rsidR="00F91DED" w:rsidRDefault="00F91DED" w:rsidP="00911117">
      <w:pPr>
        <w:tabs>
          <w:tab w:val="left" w:pos="1080"/>
        </w:tabs>
        <w:jc w:val="center"/>
        <w:rPr>
          <w:b/>
        </w:rPr>
      </w:pPr>
    </w:p>
    <w:p w14:paraId="365821D8" w14:textId="77777777" w:rsidR="00F91DED" w:rsidRDefault="00F91DED" w:rsidP="00911117">
      <w:pPr>
        <w:tabs>
          <w:tab w:val="left" w:pos="1080"/>
        </w:tabs>
        <w:jc w:val="center"/>
        <w:rPr>
          <w:b/>
        </w:rPr>
      </w:pPr>
    </w:p>
    <w:p w14:paraId="08EF65B2" w14:textId="77777777" w:rsidR="00F91DED" w:rsidRDefault="00F91DED" w:rsidP="00911117">
      <w:pPr>
        <w:tabs>
          <w:tab w:val="left" w:pos="1080"/>
        </w:tabs>
        <w:jc w:val="center"/>
        <w:rPr>
          <w:b/>
        </w:rPr>
      </w:pPr>
    </w:p>
    <w:p w14:paraId="701E419B" w14:textId="77777777" w:rsidR="00F91DED" w:rsidRDefault="00F91DED" w:rsidP="00911117">
      <w:pPr>
        <w:tabs>
          <w:tab w:val="left" w:pos="1080"/>
        </w:tabs>
        <w:jc w:val="center"/>
        <w:rPr>
          <w:b/>
        </w:rPr>
      </w:pPr>
    </w:p>
    <w:p w14:paraId="328166E9" w14:textId="77777777" w:rsidR="00F91DED" w:rsidRDefault="00F91DED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57C34" w:rsidRPr="00050158" w14:paraId="436451C8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45E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43FC" w14:textId="64A3FE9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DB5B" w14:textId="7FAFEDA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36D4" w14:textId="541B328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C5E1F" w14:textId="1B3C442F" w:rsidR="009C5AD9" w:rsidRPr="001C7959" w:rsidRDefault="009C5AD9" w:rsidP="00DD41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B5E3" w14:textId="0AA0511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8B39" w14:textId="6B95D8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E7AA" w14:textId="78045DE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5C6C" w14:textId="2C9384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BB37664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487C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Aroostook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AD4A" w14:textId="18FB47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CD9E" w14:textId="63C85E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0927" w14:textId="45B2842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0698" w14:textId="721091D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BE7F" w14:textId="60DC597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00B4" w14:textId="1A0D35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C8D0" w14:textId="641FCA7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C215" w14:textId="324BFC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2DF0A9C1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E792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Cumberland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8EA6" w14:textId="026B4E5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6281" w14:textId="573B91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DAD6D" w14:textId="6358973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2224" w14:textId="4E19D25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7601" w14:textId="6C7BBCC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BD50" w14:textId="4109411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5B55" w14:textId="2F71CE2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3D1B4" w14:textId="281BD4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48904A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FE8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Franklin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F2FF" w14:textId="3EAE0B5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17ED" w14:textId="58B4C5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992A" w14:textId="741A4CD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D7B1" w14:textId="5E73AD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8FAB" w14:textId="54C4A32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8265" w14:textId="0A335AA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0620" w14:textId="7A1692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DE4A0" w14:textId="4EC224E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625C634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294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Hancock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135C" w14:textId="4D07347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7B5A" w14:textId="4C4F55E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F7BF" w14:textId="025E88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423D" w14:textId="1F8DB4B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EE90" w14:textId="2C8852C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B9F8" w14:textId="0987167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826A7" w14:textId="3FA978B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9A0D" w14:textId="090DE2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1B896016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9EC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Kennebec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ACC9" w14:textId="69A809E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6918" w14:textId="3DA1B5F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A1E6" w14:textId="1CCF8B4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DC8C5" w14:textId="00B8E6D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340F" w14:textId="609370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62574" w14:textId="7F7FDE6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8C50" w14:textId="75D6411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A33E" w14:textId="74C8268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432D02E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850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Knox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80100" w14:textId="6E9107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6932" w14:textId="74EB97E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5F55" w14:textId="588FB41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1440" w14:textId="7285F61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A2F4" w14:textId="26E02C7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6454" w14:textId="4C6B89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9D65" w14:textId="1BED26C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EBFB" w14:textId="3D7A96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1C4363F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3FF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Lincoln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C21E" w14:textId="4CEC454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A9E7" w14:textId="20671D8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FD4D2" w14:textId="22EBC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1DDB" w14:textId="3BA816C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42CA" w14:textId="4FD225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F182" w14:textId="144D4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F5EC" w14:textId="3BF7DF5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3594" w14:textId="22EDAD8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1929971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F3A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Oxford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A670" w14:textId="347587C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DCD2" w14:textId="743ECA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3EB9" w14:textId="424F96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48A0" w14:textId="70A5FA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8010F" w14:textId="7FFFF4F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7B9B" w14:textId="1AF74F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DD60" w14:textId="393B10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86D36" w14:textId="0256FB6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1025BCC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24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Penobscot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5DDE" w14:textId="1F2BBDC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0070" w14:textId="0E1164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AD04" w14:textId="3B18D27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549C" w14:textId="507C7CE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BCB7" w14:textId="5FD82C7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47C5E" w14:textId="43C9E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EB5B" w14:textId="7363C8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C74B" w14:textId="13280BB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67C230F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4287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Piscataquis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D0F55" w14:textId="6C1CE34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1077" w14:textId="230C3C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E5DE1" w14:textId="4CF269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4080" w14:textId="1891B32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7572" w14:textId="71344C3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7580" w14:textId="5BD1EF1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763B" w14:textId="58D386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A141" w14:textId="5DF7323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D6E4469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FEB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Sagadahoc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A872" w14:textId="0FC1147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0D0F" w14:textId="3358C32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C4CC" w14:textId="31EE39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C9D5" w14:textId="40BCD4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BD6CE" w14:textId="44114FE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824B" w14:textId="1F60F0E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2879" w14:textId="760F637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90C3" w14:textId="6F4DA6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2DC77DF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332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Somerset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61A9" w14:textId="3C97CFC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88715" w14:textId="71AFD3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FFAF" w14:textId="383EF63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81E3" w14:textId="45D64DB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CCD6" w14:textId="49A591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12BF" w14:textId="70184B6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FD87" w14:textId="10E40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2393" w14:textId="10FC09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DCA63C3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8C1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Waldo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2AC9" w14:textId="0954FEF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4D37" w14:textId="7A26D48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1BE9" w14:textId="780F5E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586D2" w14:textId="11EF61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0393" w14:textId="22D6D0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FDB6" w14:textId="29DE9F4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50AC1" w14:textId="71CBCE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A6D92" w14:textId="3015AF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AA0891B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14F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Washington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365C" w14:textId="569A5AC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11FC" w14:textId="40D51BA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AA9D" w14:textId="48C4A5C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24079" w14:textId="7FE8391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2A1C" w14:textId="1E3C05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714C" w14:textId="78A25B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37DD9" w14:textId="118725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D6CE" w14:textId="4B014CE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629B64E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BCB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York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34CF" w14:textId="6FABE95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C6DC" w14:textId="542ABB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C1B5" w14:textId="2C3E673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2A27" w14:textId="292CF4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D523" w14:textId="24D9628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77AE" w14:textId="4FDE09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1317D" w14:textId="3FCD6C9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7C1A" w14:textId="0BEEFC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FC49FC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566" w14:textId="77777777" w:rsidR="009C5AD9" w:rsidRPr="001C7959" w:rsidRDefault="009C5AD9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7959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3CCE" w14:textId="59B0DD4B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8353" w14:textId="113824B0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F4D9" w14:textId="68FBA1A6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FAD" w14:textId="17B46FA2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5755" w14:textId="0E45673A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164B" w14:textId="3D51663B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520D9" w14:textId="7216906C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0A5D" w14:textId="47D7A3E5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057C34" w:rsidRPr="00050158" w14:paraId="1A58FD1C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34E6" w14:textId="77777777" w:rsidR="000519D5" w:rsidRPr="001C7959" w:rsidRDefault="000519D5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F899D2" w14:textId="77777777" w:rsidR="000519D5" w:rsidRPr="001C7959" w:rsidRDefault="000519D5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D0A6" w14:textId="588B87C9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5576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4B96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8A6A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E4F1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C2B4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1C00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1713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081DEDAF" w14:textId="0518EB0F" w:rsidR="00E2322A" w:rsidRPr="00050158" w:rsidRDefault="00E2322A" w:rsidP="008F7AB4">
      <w:pPr>
        <w:rPr>
          <w:b/>
        </w:rPr>
      </w:pPr>
      <w:r w:rsidRPr="00A547DD">
        <w:rPr>
          <w:b/>
        </w:rPr>
        <w:t>National Influenza</w:t>
      </w:r>
      <w:r w:rsidRPr="00050158">
        <w:rPr>
          <w:b/>
        </w:rPr>
        <w:t xml:space="preserve"> Surveillance Data</w:t>
      </w:r>
    </w:p>
    <w:p w14:paraId="7F340FA3" w14:textId="77777777" w:rsidR="001B651F" w:rsidRDefault="00E2322A" w:rsidP="008F7AB4">
      <w:r w:rsidRPr="00050158">
        <w:t xml:space="preserve">Source: </w:t>
      </w:r>
      <w:hyperlink r:id="rId23" w:history="1">
        <w:r w:rsidR="00BD4211" w:rsidRPr="000A4036">
          <w:rPr>
            <w:rStyle w:val="Hyperlink"/>
          </w:rPr>
          <w:t>https://www.cdc.gov/flu/weekly/</w:t>
        </w:r>
      </w:hyperlink>
      <w:r w:rsidR="00BD4211">
        <w:t xml:space="preserve"> </w:t>
      </w:r>
    </w:p>
    <w:p w14:paraId="35D05B8D" w14:textId="602F135B" w:rsidR="00441EC7" w:rsidRDefault="00441EC7" w:rsidP="00441EC7">
      <w:pPr>
        <w:tabs>
          <w:tab w:val="left" w:pos="5896"/>
        </w:tabs>
      </w:pPr>
    </w:p>
    <w:p w14:paraId="31088CDF" w14:textId="5D4985D5" w:rsidR="00A15952" w:rsidRPr="00A15952" w:rsidRDefault="00A15952" w:rsidP="00A15952">
      <w:pPr>
        <w:tabs>
          <w:tab w:val="left" w:pos="5896"/>
        </w:tabs>
        <w:rPr>
          <w:noProof/>
        </w:rPr>
      </w:pPr>
      <w:r w:rsidRPr="00A15952">
        <w:rPr>
          <w:noProof/>
        </w:rPr>
        <w:lastRenderedPageBreak/>
        <w:drawing>
          <wp:inline distT="0" distB="0" distL="0" distR="0" wp14:anchorId="23D8036F" wp14:editId="3D05B918">
            <wp:extent cx="6858000" cy="6310630"/>
            <wp:effectExtent l="0" t="0" r="0" b="0"/>
            <wp:docPr id="955720334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20334" name="Picture 3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1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55643" w14:textId="6DDA6929" w:rsidR="00035C98" w:rsidRDefault="00035C98" w:rsidP="001C7959">
      <w:pPr>
        <w:tabs>
          <w:tab w:val="left" w:pos="5896"/>
        </w:tabs>
        <w:rPr>
          <w:noProof/>
        </w:rPr>
      </w:pPr>
    </w:p>
    <w:p w14:paraId="5AA4DCFF" w14:textId="77777777" w:rsidR="001C7959" w:rsidRDefault="001C7959" w:rsidP="001C7959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  <w:highlight w:val="yellow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B85"/>
    <w:rsid w:val="00011BCA"/>
    <w:rsid w:val="0001317B"/>
    <w:rsid w:val="00014981"/>
    <w:rsid w:val="00020CBC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7492"/>
    <w:rsid w:val="00057C34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FCD"/>
    <w:rsid w:val="000D1344"/>
    <w:rsid w:val="000D139B"/>
    <w:rsid w:val="000D275A"/>
    <w:rsid w:val="000D397E"/>
    <w:rsid w:val="000D4477"/>
    <w:rsid w:val="000D47BE"/>
    <w:rsid w:val="000D4F12"/>
    <w:rsid w:val="000D5C6A"/>
    <w:rsid w:val="000D5E55"/>
    <w:rsid w:val="000E1463"/>
    <w:rsid w:val="000E490B"/>
    <w:rsid w:val="000E6500"/>
    <w:rsid w:val="000E6CAC"/>
    <w:rsid w:val="000E6F70"/>
    <w:rsid w:val="000F19D8"/>
    <w:rsid w:val="000F595B"/>
    <w:rsid w:val="00100BF9"/>
    <w:rsid w:val="00101A77"/>
    <w:rsid w:val="00102B1D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B57"/>
    <w:rsid w:val="00227D6C"/>
    <w:rsid w:val="002303B7"/>
    <w:rsid w:val="0023612D"/>
    <w:rsid w:val="00236B29"/>
    <w:rsid w:val="002412FD"/>
    <w:rsid w:val="00241EAF"/>
    <w:rsid w:val="00242313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564A"/>
    <w:rsid w:val="002577C0"/>
    <w:rsid w:val="00262A40"/>
    <w:rsid w:val="00263EFE"/>
    <w:rsid w:val="002659D2"/>
    <w:rsid w:val="00266350"/>
    <w:rsid w:val="00266949"/>
    <w:rsid w:val="00267075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5229"/>
    <w:rsid w:val="002863C0"/>
    <w:rsid w:val="002909AA"/>
    <w:rsid w:val="0029131D"/>
    <w:rsid w:val="0029235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D074B"/>
    <w:rsid w:val="002D72C8"/>
    <w:rsid w:val="002D7B7A"/>
    <w:rsid w:val="002E1F94"/>
    <w:rsid w:val="002E3C1F"/>
    <w:rsid w:val="002E6799"/>
    <w:rsid w:val="002E6B14"/>
    <w:rsid w:val="002E7907"/>
    <w:rsid w:val="002F034A"/>
    <w:rsid w:val="002F0982"/>
    <w:rsid w:val="002F1BD0"/>
    <w:rsid w:val="002F3FDD"/>
    <w:rsid w:val="002F7127"/>
    <w:rsid w:val="002F79F2"/>
    <w:rsid w:val="0030025C"/>
    <w:rsid w:val="0030125E"/>
    <w:rsid w:val="0030483C"/>
    <w:rsid w:val="00304F23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5B0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F86"/>
    <w:rsid w:val="003B7701"/>
    <w:rsid w:val="003C1738"/>
    <w:rsid w:val="003C22A7"/>
    <w:rsid w:val="003C3229"/>
    <w:rsid w:val="003C6754"/>
    <w:rsid w:val="003C7F09"/>
    <w:rsid w:val="003D117B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AE"/>
    <w:rsid w:val="003F53ED"/>
    <w:rsid w:val="003F5993"/>
    <w:rsid w:val="00403BB3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4177"/>
    <w:rsid w:val="0062622A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54F"/>
    <w:rsid w:val="00651870"/>
    <w:rsid w:val="00651D3A"/>
    <w:rsid w:val="00654EDC"/>
    <w:rsid w:val="0065513F"/>
    <w:rsid w:val="00655703"/>
    <w:rsid w:val="00655940"/>
    <w:rsid w:val="00655ABC"/>
    <w:rsid w:val="00661B24"/>
    <w:rsid w:val="00662D94"/>
    <w:rsid w:val="00662F00"/>
    <w:rsid w:val="006632ED"/>
    <w:rsid w:val="00664EA5"/>
    <w:rsid w:val="006706CF"/>
    <w:rsid w:val="00671D68"/>
    <w:rsid w:val="00673D41"/>
    <w:rsid w:val="00674665"/>
    <w:rsid w:val="006747DE"/>
    <w:rsid w:val="00676705"/>
    <w:rsid w:val="0067707A"/>
    <w:rsid w:val="00677C21"/>
    <w:rsid w:val="0068055F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7713"/>
    <w:rsid w:val="00767BA7"/>
    <w:rsid w:val="00770445"/>
    <w:rsid w:val="00771A38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7667"/>
    <w:rsid w:val="00801B93"/>
    <w:rsid w:val="008022C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4276"/>
    <w:rsid w:val="008F5FA8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15952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7E4A"/>
    <w:rsid w:val="00A8472C"/>
    <w:rsid w:val="00A85DEA"/>
    <w:rsid w:val="00A86B16"/>
    <w:rsid w:val="00A86CA4"/>
    <w:rsid w:val="00A9156B"/>
    <w:rsid w:val="00A9206F"/>
    <w:rsid w:val="00A92884"/>
    <w:rsid w:val="00A9363D"/>
    <w:rsid w:val="00A93A27"/>
    <w:rsid w:val="00A95BF5"/>
    <w:rsid w:val="00A95D9E"/>
    <w:rsid w:val="00A96375"/>
    <w:rsid w:val="00A969D6"/>
    <w:rsid w:val="00AA0295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56A"/>
    <w:rsid w:val="00B61AB4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7726"/>
    <w:rsid w:val="00BA0665"/>
    <w:rsid w:val="00BA3739"/>
    <w:rsid w:val="00BA55DC"/>
    <w:rsid w:val="00BA5B7E"/>
    <w:rsid w:val="00BA6433"/>
    <w:rsid w:val="00BA6A5D"/>
    <w:rsid w:val="00BB3699"/>
    <w:rsid w:val="00BB5D95"/>
    <w:rsid w:val="00BC177D"/>
    <w:rsid w:val="00BC5789"/>
    <w:rsid w:val="00BD1991"/>
    <w:rsid w:val="00BD2082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30F8"/>
    <w:rsid w:val="00C5364A"/>
    <w:rsid w:val="00C53A29"/>
    <w:rsid w:val="00C53B21"/>
    <w:rsid w:val="00C554D6"/>
    <w:rsid w:val="00C577DE"/>
    <w:rsid w:val="00C61635"/>
    <w:rsid w:val="00C630B5"/>
    <w:rsid w:val="00C63D78"/>
    <w:rsid w:val="00C65C97"/>
    <w:rsid w:val="00C66619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5949"/>
    <w:rsid w:val="00CA5B44"/>
    <w:rsid w:val="00CA5D96"/>
    <w:rsid w:val="00CA6687"/>
    <w:rsid w:val="00CB0444"/>
    <w:rsid w:val="00CB2701"/>
    <w:rsid w:val="00CB38C5"/>
    <w:rsid w:val="00CB4C64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6F75"/>
    <w:rsid w:val="00D57D6E"/>
    <w:rsid w:val="00D62D42"/>
    <w:rsid w:val="00D65E51"/>
    <w:rsid w:val="00D66075"/>
    <w:rsid w:val="00D66EA9"/>
    <w:rsid w:val="00D6777F"/>
    <w:rsid w:val="00D67BA9"/>
    <w:rsid w:val="00D702A2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27C9"/>
    <w:rsid w:val="00DA3551"/>
    <w:rsid w:val="00DA3A77"/>
    <w:rsid w:val="00DA684B"/>
    <w:rsid w:val="00DA79E7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73E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www.cdc.gov/flu/weekly/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12270341207349"/>
          <c:y val="7.8431372549019607E-2"/>
          <c:w val="0.8396550743657043"/>
          <c:h val="0.61080578831389387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1.24</c:v>
                </c:pt>
                <c:pt idx="2">
                  <c:v>1.44</c:v>
                </c:pt>
                <c:pt idx="3" formatCode="0.00">
                  <c:v>1.57</c:v>
                </c:pt>
                <c:pt idx="4">
                  <c:v>0.55000000000000004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</c:v>
                </c:pt>
                <c:pt idx="1">
                  <c:v>1.51</c:v>
                </c:pt>
                <c:pt idx="2">
                  <c:v>1.76</c:v>
                </c:pt>
                <c:pt idx="3" formatCode="0.00">
                  <c:v>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8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330271216097992E-2"/>
          <c:y val="0.8621945173519977"/>
          <c:w val="0.98566972878390202"/>
          <c:h val="0.137805602526761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00485631522634"/>
          <c:y val="7.3455759599332218E-2"/>
          <c:w val="0.84676059813101845"/>
          <c:h val="0.57792173307218064"/>
        </c:manualLayout>
      </c:layout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E8-4DD9-A625-6D59D60F0D90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Syndromic!$B$5:$AH$5</c:f>
              <c:numCache>
                <c:formatCode>General</c:formatCode>
                <c:ptCount val="33"/>
                <c:pt idx="0">
                  <c:v>2.8</c:v>
                </c:pt>
                <c:pt idx="1">
                  <c:v>2.6</c:v>
                </c:pt>
                <c:pt idx="2">
                  <c:v>2.9</c:v>
                </c:pt>
                <c:pt idx="3">
                  <c:v>2.9</c:v>
                </c:pt>
                <c:pt idx="4">
                  <c:v>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E8-4DD9-A625-6D59D60F0D90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E8-4DD9-A625-6D59D60F0D90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E8-4DD9-A625-6D59D60F0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3131979322108693"/>
              <c:y val="0.723631248931946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167825641160459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8558954169190391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4.5614035087719298</c:v>
                </c:pt>
                <c:pt idx="1">
                  <c:v>7.9245283018867925</c:v>
                </c:pt>
                <c:pt idx="2">
                  <c:v>7.2413793103448283</c:v>
                </c:pt>
                <c:pt idx="3">
                  <c:v>7.3684210526315779</c:v>
                </c:pt>
                <c:pt idx="4">
                  <c:v>5.0314465408805038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6.08</c:v>
                </c:pt>
                <c:pt idx="1">
                  <c:v>6.317146540610227</c:v>
                </c:pt>
                <c:pt idx="2">
                  <c:v>6.1979648473635525</c:v>
                </c:pt>
                <c:pt idx="3">
                  <c:v>6.1583577712609969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85044959657820551"/>
          <c:h val="0.4911789342977935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HETL!$B$2:$BA$2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5-42AB-B852-0FA0D178F0E2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HETL!$B$3:$BA$3</c:f>
              <c:numCache>
                <c:formatCode>General</c:formatCode>
                <c:ptCount val="52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25-42AB-B852-0FA0D178F0E2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HETL!$B$4:$AH$4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2-AF25-42AB-B852-0FA0D178F0E2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HETL!$B$5:$BA$5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25-42AB-B852-0FA0D178F0E2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AF25-42AB-B852-0FA0D178F0E2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AF25-42AB-B852-0FA0D178F0E2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25-42AB-B852-0FA0D178F0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AF25-42AB-B852-0FA0D178F0E2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27631388248186151"/>
              <c:y val="0.622330077951770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6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Numver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5597002392E-2"/>
          <c:y val="0.7317931863648458"/>
          <c:w val="0.55705700928798041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HETL!$BB$1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8B-48D2-A42D-E9CC7D983EA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8B-48D2-A42D-E9CC7D983EA4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8B-48D2-A42D-E9CC7D983EA4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8B-48D2-A42D-E9CC7D983EA4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8B-48D2-A42D-E9CC7D983EA4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8B-48D2-A42D-E9CC7D983EA4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8B-48D2-A42D-E9CC7D983EA4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HETL!$BB$2:$BB$8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728B-48D2-A42D-E9CC7D983E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77921733072180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70776931361735"/>
          <c:y val="1.5652823358007977E-2"/>
          <c:w val="0.85903211761509279"/>
          <c:h val="0.697933069417668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81-4BDE-870A-BB5CBFE2F2C1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81-4BDE-870A-BB5CBFE2F2C1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81-4BDE-870A-BB5CBFE2F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0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781939883927359"/>
          <c:y val="0.88750857728760546"/>
          <c:w val="0.62436120232145287"/>
          <c:h val="9.91358300579706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65791776028"/>
          <c:y val="5.8737160303422915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8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  <c:max val="1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Tiendrebeogo, Gildas</cp:lastModifiedBy>
  <cp:revision>2</cp:revision>
  <cp:lastPrinted>2024-10-08T21:14:00Z</cp:lastPrinted>
  <dcterms:created xsi:type="dcterms:W3CDTF">2024-11-05T19:50:00Z</dcterms:created>
  <dcterms:modified xsi:type="dcterms:W3CDTF">2024-11-05T19:50:00Z</dcterms:modified>
</cp:coreProperties>
</file>