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A8B71" w14:textId="7777777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4E4C393D" w:rsidR="00272295" w:rsidRDefault="00716AAE" w:rsidP="00697B1E">
      <w:r>
        <w:t xml:space="preserve">October </w:t>
      </w:r>
      <w:r w:rsidR="003E4E12">
        <w:t>8</w:t>
      </w:r>
      <w:r w:rsidR="00337F3B">
        <w:t>, 202</w:t>
      </w:r>
      <w:r w:rsidR="003E4E12">
        <w:t>4</w:t>
      </w:r>
    </w:p>
    <w:p w14:paraId="4E65E6AD" w14:textId="1AA0219E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716AAE">
        <w:t>40</w:t>
      </w:r>
      <w:r w:rsidR="00816D7A" w:rsidRPr="00FD1CC0">
        <w:t xml:space="preserve"> (ending </w:t>
      </w:r>
      <w:r w:rsidR="00716AAE">
        <w:t>10</w:t>
      </w:r>
      <w:r w:rsidR="00D37AB5">
        <w:t>/</w:t>
      </w:r>
      <w:r w:rsidR="001C779F">
        <w:t>0</w:t>
      </w:r>
      <w:r w:rsidR="003E4E12">
        <w:t>5</w:t>
      </w:r>
      <w:r w:rsidR="00337F3B">
        <w:t>/202</w:t>
      </w:r>
      <w:r w:rsidR="00DD414F">
        <w:t>4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676705">
        <w:rPr>
          <w:b/>
          <w:bCs/>
        </w:rPr>
        <w:t>U</w:t>
      </w:r>
      <w:r w:rsidR="00531811" w:rsidRPr="00676705">
        <w:rPr>
          <w:b/>
          <w:bCs/>
        </w:rPr>
        <w:t>.S. Outpatient</w:t>
      </w:r>
      <w:r w:rsidR="00531811" w:rsidRPr="001143EB">
        <w:rPr>
          <w:b/>
          <w:bCs/>
        </w:rPr>
        <w:t xml:space="preserve"> Influenza-</w:t>
      </w:r>
      <w:r w:rsidR="00531811">
        <w:rPr>
          <w:b/>
          <w:bCs/>
        </w:rPr>
        <w:t>like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Default="0098395E" w:rsidP="0098395E">
      <w:pPr>
        <w:contextualSpacing/>
        <w:rPr>
          <w:b/>
          <w:sz w:val="18"/>
          <w:szCs w:val="18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7ED8" w:rsidRDefault="00F65E5D" w:rsidP="00FE11DD">
      <w:pPr>
        <w:contextualSpacing/>
        <w:jc w:val="center"/>
        <w:rPr>
          <w:b/>
          <w:sz w:val="16"/>
          <w:szCs w:val="16"/>
        </w:rPr>
      </w:pPr>
      <w:r w:rsidRPr="008D2A4C">
        <w:rPr>
          <w:b/>
          <w:sz w:val="16"/>
          <w:szCs w:val="16"/>
        </w:rPr>
        <w:t>Outpatient V</w:t>
      </w:r>
      <w:r w:rsidR="0056086B" w:rsidRPr="008D2A4C">
        <w:rPr>
          <w:b/>
          <w:sz w:val="16"/>
          <w:szCs w:val="16"/>
        </w:rPr>
        <w:t>isits for ILI</w:t>
      </w:r>
      <w:r w:rsidRPr="008D2A4C">
        <w:rPr>
          <w:b/>
          <w:sz w:val="16"/>
          <w:szCs w:val="16"/>
        </w:rPr>
        <w:t xml:space="preserve"> –</w:t>
      </w:r>
      <w:proofErr w:type="spellStart"/>
      <w:r w:rsidR="00BA3739" w:rsidRPr="008D2A4C">
        <w:rPr>
          <w:b/>
          <w:sz w:val="16"/>
          <w:szCs w:val="16"/>
        </w:rPr>
        <w:t>ILINet</w:t>
      </w:r>
      <w:proofErr w:type="spellEnd"/>
      <w:r w:rsidR="00BA3739" w:rsidRPr="008D2A4C">
        <w:rPr>
          <w:b/>
          <w:sz w:val="16"/>
          <w:szCs w:val="16"/>
        </w:rPr>
        <w:t>,</w:t>
      </w:r>
      <w:r w:rsidRPr="008D2A4C">
        <w:rPr>
          <w:b/>
          <w:sz w:val="16"/>
          <w:szCs w:val="16"/>
        </w:rPr>
        <w:t xml:space="preserve"> Maine,</w:t>
      </w:r>
      <w:r w:rsidR="004E71F7" w:rsidRPr="008D2A4C">
        <w:rPr>
          <w:b/>
          <w:sz w:val="16"/>
          <w:szCs w:val="16"/>
        </w:rPr>
        <w:t xml:space="preserve"> 20</w:t>
      </w:r>
      <w:r w:rsidR="00460D83" w:rsidRPr="008D2A4C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E40344" w:rsidRPr="008D2A4C">
        <w:rPr>
          <w:b/>
          <w:sz w:val="16"/>
          <w:szCs w:val="16"/>
        </w:rPr>
        <w:t>-</w:t>
      </w:r>
      <w:r w:rsidR="0025332A" w:rsidRPr="008D2A4C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783260ED" w:rsidR="00673D41" w:rsidRPr="00615AE8" w:rsidRDefault="00E410FC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1.02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279F2F6A" w:rsidR="00673D41" w:rsidRPr="00F54653" w:rsidRDefault="00591E29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E4E12">
              <w:rPr>
                <w:b/>
                <w:bCs/>
              </w:rPr>
              <w:t>5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03A9E7B4">
            <wp:extent cx="4215384" cy="1901952"/>
            <wp:effectExtent l="0" t="0" r="0" b="3175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574960A2" w14:textId="77777777" w:rsidR="0098395E" w:rsidRDefault="0098395E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26DC8210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>Percent of Emergency Room 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0EA389FA" w:rsidR="005C2BB6" w:rsidRPr="00364EE2" w:rsidRDefault="00242313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3A6FA3">
              <w:rPr>
                <w:b/>
                <w:bCs/>
              </w:rPr>
              <w:t>29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156B4342" w:rsidR="005C2BB6" w:rsidRPr="00FE11DD" w:rsidRDefault="0024231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3A6FA3">
              <w:rPr>
                <w:b/>
                <w:bCs/>
              </w:rPr>
              <w:t>16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52C5E0D0" w14:textId="77777777" w:rsidR="00F226A4" w:rsidRDefault="00531811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p w14:paraId="387D9C1B" w14:textId="77777777" w:rsidR="00F226A4" w:rsidRDefault="00F226A4" w:rsidP="00F226A4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4D5A1391" w:rsidR="00F226A4" w:rsidRPr="005B36F3" w:rsidRDefault="003A6FA3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1EF5DA4E" w:rsidR="00F226A4" w:rsidRPr="00FE11DD" w:rsidRDefault="003A6FA3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F226A4" w:rsidRDefault="004C56F4" w:rsidP="00F226A4">
      <w:pPr>
        <w:jc w:val="center"/>
        <w:rPr>
          <w:b/>
          <w:bCs/>
        </w:rPr>
      </w:pPr>
      <w:r w:rsidRPr="006E5BC1">
        <w:rPr>
          <w:b/>
          <w:sz w:val="16"/>
          <w:szCs w:val="16"/>
        </w:rPr>
        <w:t>Syndromic Surveillance data</w:t>
      </w:r>
      <w:r w:rsidR="00F65E5D" w:rsidRPr="00050158">
        <w:rPr>
          <w:b/>
          <w:sz w:val="16"/>
          <w:szCs w:val="16"/>
        </w:rPr>
        <w:t xml:space="preserve"> for ILI – Maine</w:t>
      </w:r>
      <w:r w:rsidR="004E71F7" w:rsidRPr="00050158">
        <w:rPr>
          <w:b/>
          <w:sz w:val="16"/>
          <w:szCs w:val="16"/>
        </w:rPr>
        <w:t>, 20</w:t>
      </w:r>
      <w:r w:rsidR="00107ED8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E40344">
        <w:rPr>
          <w:b/>
          <w:sz w:val="16"/>
          <w:szCs w:val="16"/>
        </w:rPr>
        <w:t xml:space="preserve"> 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44AD8752" w14:textId="17706E58" w:rsidR="00FE11DD" w:rsidRDefault="00616BA0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F45D6E5" wp14:editId="5EF478C5">
            <wp:extent cx="4215384" cy="1901952"/>
            <wp:effectExtent l="0" t="0" r="0" b="3175"/>
            <wp:docPr id="17811963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1A8A42AD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Default="00531811" w:rsidP="00531811">
      <w:pPr>
        <w:jc w:val="center"/>
        <w:rPr>
          <w:b/>
          <w:sz w:val="16"/>
          <w:szCs w:val="16"/>
        </w:rPr>
      </w:pPr>
      <w:r w:rsidRPr="008A0E52">
        <w:rPr>
          <w:b/>
          <w:sz w:val="16"/>
          <w:szCs w:val="16"/>
        </w:rPr>
        <w:t>Influenza Hosp</w:t>
      </w:r>
      <w:r w:rsidRPr="00F226A4">
        <w:rPr>
          <w:b/>
          <w:sz w:val="16"/>
          <w:szCs w:val="16"/>
        </w:rPr>
        <w:t>italization</w:t>
      </w:r>
      <w:r w:rsidRPr="008A0E52"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 xml:space="preserve"> – Maine, 20</w:t>
      </w:r>
      <w:r w:rsidR="00F5465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18F2C7E8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5FCE2DFD" w:rsidR="00531811" w:rsidRPr="00615AE8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9B75A7">
              <w:rPr>
                <w:b/>
                <w:bCs/>
              </w:rPr>
              <w:t>%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0A4D506A" w:rsidR="00531811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18CFB2B1" w:rsidR="00615AE8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Default="0098395E" w:rsidP="0098395E">
      <w:pPr>
        <w:rPr>
          <w:b/>
          <w:sz w:val="16"/>
          <w:szCs w:val="16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6E5BC1">
        <w:rPr>
          <w:b/>
          <w:sz w:val="16"/>
          <w:szCs w:val="16"/>
        </w:rPr>
        <w:t>Deaths Attributable</w:t>
      </w:r>
      <w:r w:rsidRPr="00091CAF">
        <w:rPr>
          <w:b/>
          <w:sz w:val="16"/>
          <w:szCs w:val="16"/>
        </w:rPr>
        <w:t xml:space="preserve"> to</w:t>
      </w:r>
      <w:r w:rsidRPr="002121CB">
        <w:rPr>
          <w:b/>
          <w:sz w:val="16"/>
          <w:szCs w:val="16"/>
        </w:rPr>
        <w:t xml:space="preserve"> P&amp;I – Maine, 20</w:t>
      </w:r>
      <w:r w:rsidR="004B40FE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4C741B" w:rsidRPr="002121CB">
        <w:rPr>
          <w:b/>
          <w:sz w:val="16"/>
          <w:szCs w:val="16"/>
        </w:rPr>
        <w:t>-</w:t>
      </w:r>
      <w:r w:rsidR="004B40FE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  <w:r w:rsidR="004B40FE" w:rsidRPr="004B40FE">
        <w:rPr>
          <w:noProof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334D7E07">
            <wp:extent cx="4215384" cy="1901952"/>
            <wp:effectExtent l="0" t="0" r="0" b="3175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EA6CFAE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281CA0E5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F5903D2" w14:textId="77777777" w:rsidR="0027262B" w:rsidRDefault="0027262B" w:rsidP="00770445">
      <w:pPr>
        <w:rPr>
          <w:b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p w14:paraId="33B6FCDA" w14:textId="0E0EF8B0" w:rsidR="00615AE8" w:rsidRDefault="00615AE8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4A7475D0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5A7C92">
              <w:rPr>
                <w:b/>
              </w:rPr>
              <w:t>40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3B8F6746" w:rsidR="00771A38" w:rsidRPr="009B75A7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15" w:type="dxa"/>
          </w:tcPr>
          <w:p w14:paraId="583B98F5" w14:textId="1C3D78FA" w:rsidR="00771A38" w:rsidRPr="003D117B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65919D90" w:rsidR="00771A38" w:rsidRPr="009B75A7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15" w:type="dxa"/>
          </w:tcPr>
          <w:p w14:paraId="08EF3159" w14:textId="6BA1B9B3" w:rsidR="00771A38" w:rsidRPr="003D117B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080DC74D" w:rsidR="00771A38" w:rsidRPr="009B75A7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5" w:type="dxa"/>
          </w:tcPr>
          <w:p w14:paraId="33CCFB57" w14:textId="4E3F669B" w:rsidR="00771A38" w:rsidRPr="003D117B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(H1N1)pdm09</w:t>
            </w:r>
          </w:p>
        </w:tc>
        <w:tc>
          <w:tcPr>
            <w:tcW w:w="2700" w:type="dxa"/>
          </w:tcPr>
          <w:p w14:paraId="7955F88C" w14:textId="72D66E39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0D24C2E1" w14:textId="728BCD3B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328F82C5" w:rsidR="00771A38" w:rsidRPr="009B75A7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15" w:type="dxa"/>
          </w:tcPr>
          <w:p w14:paraId="13E709C4" w14:textId="0C1BF56D" w:rsidR="00771A38" w:rsidRPr="003D117B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274F85DB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21012191" w14:textId="784D36A2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30CEF3DB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4535DBC3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0E6DF579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3E3CABDF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77777777" w:rsidR="0025564A" w:rsidRDefault="0025564A" w:rsidP="00615AE8">
            <w:pPr>
              <w:rPr>
                <w:b/>
              </w:rPr>
            </w:pPr>
          </w:p>
        </w:tc>
      </w:tr>
    </w:tbl>
    <w:p w14:paraId="5EE5CA6C" w14:textId="0D736B61" w:rsidR="00122779" w:rsidRPr="00050158" w:rsidRDefault="00122779" w:rsidP="00122779">
      <w:pPr>
        <w:jc w:val="center"/>
        <w:rPr>
          <w:b/>
          <w:sz w:val="16"/>
          <w:szCs w:val="16"/>
        </w:rPr>
      </w:pPr>
      <w:r w:rsidRPr="006E5BC1">
        <w:rPr>
          <w:b/>
          <w:sz w:val="16"/>
          <w:szCs w:val="16"/>
        </w:rPr>
        <w:t>Influenza</w:t>
      </w:r>
      <w:r w:rsidRPr="00050158">
        <w:rPr>
          <w:b/>
          <w:sz w:val="16"/>
          <w:szCs w:val="16"/>
        </w:rPr>
        <w:t xml:space="preserve"> Positive PCR </w:t>
      </w:r>
      <w:r>
        <w:rPr>
          <w:b/>
          <w:sz w:val="16"/>
          <w:szCs w:val="16"/>
        </w:rPr>
        <w:t>Tests</w:t>
      </w:r>
      <w:r w:rsidRPr="00050158">
        <w:rPr>
          <w:b/>
          <w:sz w:val="16"/>
          <w:szCs w:val="16"/>
        </w:rPr>
        <w:t>, HETL – Maine, 20</w:t>
      </w:r>
      <w:r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</w:p>
    <w:p w14:paraId="4DC7373B" w14:textId="77777777" w:rsidR="005401F7" w:rsidRDefault="005401F7" w:rsidP="00122779">
      <w:pPr>
        <w:rPr>
          <w:b/>
        </w:rPr>
      </w:pPr>
    </w:p>
    <w:p w14:paraId="1A340A26" w14:textId="77777777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6034E2F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5B2BCB0E" w:rsidR="0025564A" w:rsidRDefault="00271774" w:rsidP="00730950">
      <w:pPr>
        <w:rPr>
          <w:b/>
        </w:rPr>
      </w:pPr>
      <w:r>
        <w:rPr>
          <w:noProof/>
        </w:rPr>
        <w:drawing>
          <wp:inline distT="0" distB="0" distL="0" distR="0" wp14:anchorId="3A19C123" wp14:editId="27A2FC4A">
            <wp:extent cx="4526280" cy="2029968"/>
            <wp:effectExtent l="0" t="0" r="7620" b="8890"/>
            <wp:docPr id="12736422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79BC8D7" w14:textId="2FC21B08" w:rsidR="00097393" w:rsidRDefault="00DB2F87" w:rsidP="00A93A27">
      <w:pPr>
        <w:jc w:val="center"/>
        <w:rPr>
          <w:b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  <w:r>
        <w:rPr>
          <w:b/>
        </w:rPr>
        <w:t xml:space="preserve">                       </w:t>
      </w:r>
      <w:r w:rsidR="00271774">
        <w:rPr>
          <w:noProof/>
        </w:rPr>
        <w:drawing>
          <wp:inline distT="0" distB="0" distL="0" distR="0" wp14:anchorId="1D1C846B" wp14:editId="18A97428">
            <wp:extent cx="1783080" cy="2120900"/>
            <wp:effectExtent l="0" t="0" r="7620" b="0"/>
            <wp:docPr id="21446685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70A32BB" w14:textId="6564848A" w:rsidR="00097393" w:rsidRDefault="00097393" w:rsidP="00122779">
      <w:pPr>
        <w:jc w:val="center"/>
        <w:rPr>
          <w:noProof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</w:p>
    <w:p w14:paraId="40F2201C" w14:textId="77777777" w:rsidR="005401F7" w:rsidRDefault="005401F7" w:rsidP="00122779">
      <w:pPr>
        <w:rPr>
          <w:noProof/>
        </w:rPr>
        <w:sectPr w:rsidR="005401F7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0337D65" w14:textId="2F08B3EA" w:rsidR="00097393" w:rsidRDefault="00097393" w:rsidP="00122779">
      <w:pPr>
        <w:rPr>
          <w:b/>
        </w:rPr>
        <w:sectPr w:rsidR="0009739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Default="00771A38" w:rsidP="002E3C1F">
            <w:pPr>
              <w:jc w:val="center"/>
              <w:rPr>
                <w:b/>
              </w:rPr>
            </w:pPr>
            <w:r w:rsidRPr="006E5BC1">
              <w:rPr>
                <w:b/>
              </w:rPr>
              <w:t>Maine Reference</w:t>
            </w:r>
            <w:r w:rsidRPr="000870E7">
              <w:rPr>
                <w:b/>
              </w:rPr>
              <w:t xml:space="preserve"> </w:t>
            </w:r>
            <w:r w:rsidRPr="00C92D04">
              <w:rPr>
                <w:b/>
              </w:rPr>
              <w:t>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56AFC3E8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5A7C92">
              <w:rPr>
                <w:b/>
              </w:rPr>
              <w:t>40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771A38" w14:paraId="1A626B70" w14:textId="0D971632" w:rsidTr="00771A38">
        <w:tc>
          <w:tcPr>
            <w:tcW w:w="5575" w:type="dxa"/>
          </w:tcPr>
          <w:p w14:paraId="7E2338C5" w14:textId="589025A3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4C8BA340" w:rsidR="00771A38" w:rsidRPr="009B75A7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  <w:tc>
          <w:tcPr>
            <w:tcW w:w="2515" w:type="dxa"/>
          </w:tcPr>
          <w:p w14:paraId="783B27B2" w14:textId="7A616B01" w:rsidR="00771A38" w:rsidRPr="000C44D2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</w:tr>
      <w:tr w:rsidR="000C44D2" w14:paraId="79FC95FF" w14:textId="106EC5F6" w:rsidTr="00925C11">
        <w:tc>
          <w:tcPr>
            <w:tcW w:w="5575" w:type="dxa"/>
          </w:tcPr>
          <w:p w14:paraId="4CC06AD3" w14:textId="2DD8016C" w:rsidR="000C44D2" w:rsidRDefault="000C44D2" w:rsidP="000C44D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3714DA3D" w:rsidR="000C44D2" w:rsidRPr="009B75A7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  <w:tc>
          <w:tcPr>
            <w:tcW w:w="2515" w:type="dxa"/>
          </w:tcPr>
          <w:p w14:paraId="04AD303C" w14:textId="787A3CA0" w:rsidR="000C44D2" w:rsidRPr="000C44D2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</w:tr>
      <w:tr w:rsidR="000C44D2" w14:paraId="2E75BF8A" w14:textId="77777777" w:rsidTr="00925C11">
        <w:tc>
          <w:tcPr>
            <w:tcW w:w="5575" w:type="dxa"/>
          </w:tcPr>
          <w:p w14:paraId="0D75F44B" w14:textId="2260B2B0" w:rsidR="000C44D2" w:rsidRDefault="000C44D2" w:rsidP="000C44D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C44D2" w:rsidRPr="009B75A7" w:rsidRDefault="000C44D2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C44D2" w:rsidRPr="000C44D2" w:rsidRDefault="000C44D2" w:rsidP="000C44D2">
            <w:pPr>
              <w:jc w:val="center"/>
              <w:rPr>
                <w:bCs/>
              </w:rPr>
            </w:pPr>
          </w:p>
        </w:tc>
      </w:tr>
      <w:tr w:rsidR="000C44D2" w14:paraId="1E744110" w14:textId="77777777" w:rsidTr="00925C11">
        <w:tc>
          <w:tcPr>
            <w:tcW w:w="5575" w:type="dxa"/>
          </w:tcPr>
          <w:p w14:paraId="3F54D01C" w14:textId="386923F8" w:rsidR="000C44D2" w:rsidRPr="00615AE8" w:rsidRDefault="00BA3739" w:rsidP="000C44D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33C09E2F" w14:textId="47D852E9" w:rsidR="000C44D2" w:rsidRPr="009B75A7" w:rsidRDefault="006E5BC1" w:rsidP="000C44D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F814D02" w14:textId="170EEA98" w:rsidR="000C44D2" w:rsidRPr="000C44D2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</w:tr>
      <w:tr w:rsidR="000C44D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C44D2" w:rsidRDefault="00BA3739" w:rsidP="000C44D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6049E1D1" w:rsidR="000C44D2" w:rsidRPr="009B75A7" w:rsidRDefault="006E5BC1" w:rsidP="000C44D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6613B8BF" w:rsidR="000C44D2" w:rsidRPr="000C44D2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050158" w:rsidRDefault="000C44D2" w:rsidP="000C44D2">
      <w:pPr>
        <w:jc w:val="center"/>
        <w:rPr>
          <w:noProof/>
        </w:rPr>
      </w:pPr>
      <w:r w:rsidRPr="006E5BC1">
        <w:rPr>
          <w:b/>
          <w:sz w:val="16"/>
          <w:szCs w:val="16"/>
        </w:rPr>
        <w:t>Influenza</w:t>
      </w:r>
      <w:r w:rsidR="002D7B7A" w:rsidRPr="006E5BC1">
        <w:rPr>
          <w:b/>
          <w:sz w:val="16"/>
          <w:szCs w:val="16"/>
        </w:rPr>
        <w:t xml:space="preserve"> Positive</w:t>
      </w:r>
      <w:r w:rsidR="002D7B7A">
        <w:rPr>
          <w:b/>
          <w:sz w:val="16"/>
          <w:szCs w:val="16"/>
        </w:rPr>
        <w:t xml:space="preserve"> Tests</w:t>
      </w:r>
      <w:r w:rsidRPr="00050158">
        <w:rPr>
          <w:b/>
          <w:sz w:val="16"/>
          <w:szCs w:val="16"/>
        </w:rPr>
        <w:t>, Maine</w:t>
      </w:r>
      <w:r>
        <w:rPr>
          <w:b/>
          <w:sz w:val="16"/>
          <w:szCs w:val="16"/>
        </w:rPr>
        <w:t xml:space="preserve"> Reference Labs – Maine, 202</w:t>
      </w:r>
      <w:r w:rsidR="00491B0F">
        <w:rPr>
          <w:b/>
          <w:sz w:val="16"/>
          <w:szCs w:val="16"/>
        </w:rPr>
        <w:t>4</w:t>
      </w:r>
      <w:r w:rsidRPr="00050158">
        <w:rPr>
          <w:b/>
          <w:sz w:val="16"/>
          <w:szCs w:val="16"/>
        </w:rPr>
        <w:t>-</w:t>
      </w:r>
      <w:r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1FA384F9" w14:textId="038F51FB" w:rsidR="00615AE8" w:rsidRDefault="00615AE8" w:rsidP="00A93A27">
      <w:pPr>
        <w:jc w:val="center"/>
        <w:rPr>
          <w:b/>
        </w:rPr>
      </w:pP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38D4E7B1">
            <wp:extent cx="4270248" cy="1901952"/>
            <wp:effectExtent l="0" t="0" r="0" b="317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222AEA40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0519D5">
              <w:rPr>
                <w:b/>
              </w:rPr>
              <w:t>40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59B54733" w:rsidR="0025564A" w:rsidRPr="009B75A7" w:rsidRDefault="000519D5" w:rsidP="000C44D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15" w:type="dxa"/>
          </w:tcPr>
          <w:p w14:paraId="615F4E2C" w14:textId="528C3EF4" w:rsidR="0025564A" w:rsidRPr="004A56EB" w:rsidRDefault="000519D5" w:rsidP="000C44D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21632734" w:rsidR="0025564A" w:rsidRPr="009B75A7" w:rsidRDefault="000519D5" w:rsidP="000C44D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15" w:type="dxa"/>
          </w:tcPr>
          <w:p w14:paraId="3EC6D09F" w14:textId="2A676CFC" w:rsidR="0025564A" w:rsidRPr="004A56EB" w:rsidRDefault="009C5AD9" w:rsidP="000C44D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455BFEAE" w:rsidR="0025564A" w:rsidRPr="009B75A7" w:rsidRDefault="005A7C92" w:rsidP="00FA5E3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0D5E55" w:rsidRPr="009B75A7">
              <w:rPr>
                <w:bCs/>
              </w:rPr>
              <w:t xml:space="preserve"> </w:t>
            </w:r>
            <w:r w:rsidR="00BC5789" w:rsidRPr="009B75A7">
              <w:rPr>
                <w:bCs/>
              </w:rPr>
              <w:t>(</w:t>
            </w:r>
            <w:r>
              <w:rPr>
                <w:bCs/>
              </w:rPr>
              <w:t>62.5</w:t>
            </w:r>
            <w:r w:rsidR="00BC5789" w:rsidRPr="009B75A7">
              <w:rPr>
                <w:bCs/>
              </w:rPr>
              <w:t>%</w:t>
            </w:r>
            <w:r w:rsidR="005B36F3" w:rsidRPr="009B75A7">
              <w:rPr>
                <w:bCs/>
              </w:rPr>
              <w:t>)</w:t>
            </w:r>
          </w:p>
        </w:tc>
        <w:tc>
          <w:tcPr>
            <w:tcW w:w="2515" w:type="dxa"/>
          </w:tcPr>
          <w:p w14:paraId="3F0901ED" w14:textId="0190A11F" w:rsidR="0025564A" w:rsidRPr="004A56EB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6D3098" w:rsidRPr="004A56EB">
              <w:rPr>
                <w:bCs/>
              </w:rPr>
              <w:t xml:space="preserve"> </w:t>
            </w:r>
            <w:r w:rsidR="002E3C1F" w:rsidRPr="004A56EB">
              <w:rPr>
                <w:bCs/>
              </w:rPr>
              <w:t>(</w:t>
            </w:r>
            <w:r>
              <w:rPr>
                <w:bCs/>
              </w:rPr>
              <w:t>62.5</w:t>
            </w:r>
            <w:r w:rsidR="002E3C1F" w:rsidRPr="004A56EB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6F168116" w:rsidR="0025564A" w:rsidRPr="009B75A7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5B36F3" w:rsidRPr="009B75A7">
              <w:rPr>
                <w:bCs/>
              </w:rPr>
              <w:t>(</w:t>
            </w:r>
            <w:r>
              <w:rPr>
                <w:bCs/>
              </w:rPr>
              <w:t>37.5</w:t>
            </w:r>
            <w:r w:rsidR="005B36F3" w:rsidRPr="009B75A7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70032EC4" w:rsidR="0025564A" w:rsidRPr="004A56EB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6D3098" w:rsidRPr="004A56EB">
              <w:rPr>
                <w:bCs/>
              </w:rPr>
              <w:t xml:space="preserve"> </w:t>
            </w:r>
            <w:r w:rsidR="00591E29">
              <w:rPr>
                <w:bCs/>
              </w:rPr>
              <w:t>(</w:t>
            </w:r>
            <w:r w:rsidR="000A11BE">
              <w:rPr>
                <w:bCs/>
              </w:rPr>
              <w:t>3</w:t>
            </w:r>
            <w:r>
              <w:rPr>
                <w:bCs/>
              </w:rPr>
              <w:t>7.5</w:t>
            </w:r>
            <w:r w:rsidR="000A11BE">
              <w:rPr>
                <w:bCs/>
              </w:rPr>
              <w:t>%</w:t>
            </w:r>
            <w:r w:rsidR="002E3C1F" w:rsidRPr="004A56EB">
              <w:rPr>
                <w:bCs/>
              </w:rPr>
              <w:t>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050158" w:rsidRDefault="00D2651A" w:rsidP="002E3C1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Total R</w:t>
      </w:r>
      <w:r w:rsidR="000670A4" w:rsidRPr="00F662B6">
        <w:rPr>
          <w:b/>
          <w:sz w:val="16"/>
          <w:szCs w:val="16"/>
        </w:rPr>
        <w:t xml:space="preserve">eported </w:t>
      </w:r>
      <w:r w:rsidR="00770445" w:rsidRPr="00F662B6">
        <w:rPr>
          <w:b/>
          <w:sz w:val="16"/>
          <w:szCs w:val="16"/>
        </w:rPr>
        <w:t>Positive</w:t>
      </w:r>
      <w:r w:rsidR="00770445" w:rsidRPr="00050158">
        <w:rPr>
          <w:b/>
          <w:sz w:val="16"/>
          <w:szCs w:val="16"/>
        </w:rPr>
        <w:t xml:space="preserve"> Influenza Tests – Maine, 20</w:t>
      </w:r>
      <w:r w:rsidR="00FD4E5B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8346EE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10364A78" w14:textId="24EECB01" w:rsidR="00A93A27" w:rsidRDefault="00216690" w:rsidP="00A93A27">
      <w:pPr>
        <w:jc w:val="center"/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77EE99A9" wp14:editId="2481C22F">
            <wp:extent cx="4270248" cy="1901952"/>
            <wp:effectExtent l="0" t="0" r="0" b="3175"/>
            <wp:docPr id="11810090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77777777" w:rsidR="0027262B" w:rsidRPr="00050158" w:rsidRDefault="0027262B" w:rsidP="0027262B">
      <w:pPr>
        <w:pStyle w:val="Default"/>
        <w:rPr>
          <w:sz w:val="23"/>
          <w:szCs w:val="23"/>
        </w:rPr>
      </w:pPr>
      <w:r w:rsidRPr="00A547DD">
        <w:rPr>
          <w:b/>
          <w:bCs/>
          <w:sz w:val="23"/>
          <w:szCs w:val="23"/>
        </w:rPr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05A2D2A8" w:rsidR="00697B1E" w:rsidRPr="00050158" w:rsidRDefault="00754DFC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0</w:t>
      </w:r>
      <w:r w:rsidR="00697B1E" w:rsidRPr="00050158">
        <w:rPr>
          <w:sz w:val="23"/>
          <w:szCs w:val="23"/>
        </w:rPr>
        <w:t xml:space="preserve">% of influenza A/H1N1 samples </w:t>
      </w:r>
      <w:r w:rsidR="00677C21">
        <w:rPr>
          <w:sz w:val="23"/>
          <w:szCs w:val="23"/>
        </w:rPr>
        <w:t>with</w:t>
      </w:r>
      <w:r w:rsidR="00677C21" w:rsidRPr="00050158">
        <w:rPr>
          <w:sz w:val="23"/>
          <w:szCs w:val="23"/>
        </w:rPr>
        <w:t xml:space="preserve"> </w:t>
      </w:r>
      <w:r w:rsidR="00677C21">
        <w:rPr>
          <w:sz w:val="23"/>
          <w:szCs w:val="23"/>
        </w:rPr>
        <w:t xml:space="preserve">cell-grown vaccine antibodies; </w:t>
      </w:r>
      <w:r>
        <w:rPr>
          <w:sz w:val="23"/>
          <w:szCs w:val="23"/>
        </w:rPr>
        <w:t>0</w:t>
      </w:r>
      <w:r w:rsidR="00677C21">
        <w:rPr>
          <w:sz w:val="23"/>
          <w:szCs w:val="23"/>
        </w:rPr>
        <w:t>% with egg-based vaccine antibodies</w:t>
      </w:r>
    </w:p>
    <w:p w14:paraId="7577406A" w14:textId="483D8C61" w:rsidR="00697B1E" w:rsidRPr="00050158" w:rsidRDefault="00754DFC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100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697B1E" w:rsidRPr="00050158">
        <w:rPr>
          <w:sz w:val="23"/>
          <w:szCs w:val="23"/>
        </w:rPr>
        <w:t xml:space="preserve"> samples </w:t>
      </w:r>
      <w:r w:rsidR="00AD24D8">
        <w:rPr>
          <w:sz w:val="23"/>
          <w:szCs w:val="23"/>
        </w:rPr>
        <w:t>with</w:t>
      </w:r>
      <w:r w:rsidR="00697B1E" w:rsidRPr="00050158">
        <w:rPr>
          <w:sz w:val="23"/>
          <w:szCs w:val="23"/>
        </w:rPr>
        <w:t xml:space="preserve"> </w:t>
      </w:r>
      <w:r w:rsidR="008C541B">
        <w:rPr>
          <w:sz w:val="23"/>
          <w:szCs w:val="23"/>
        </w:rPr>
        <w:t>cell</w:t>
      </w:r>
      <w:r w:rsidR="005C43E5">
        <w:rPr>
          <w:sz w:val="23"/>
          <w:szCs w:val="23"/>
        </w:rPr>
        <w:t xml:space="preserve">-grown </w:t>
      </w:r>
      <w:r w:rsidR="008C541B">
        <w:rPr>
          <w:sz w:val="23"/>
          <w:szCs w:val="23"/>
        </w:rPr>
        <w:t>vac</w:t>
      </w:r>
      <w:r w:rsidR="005C43E5">
        <w:rPr>
          <w:sz w:val="23"/>
          <w:szCs w:val="23"/>
        </w:rPr>
        <w:t xml:space="preserve">cine </w:t>
      </w:r>
      <w:r w:rsidR="00FF4310">
        <w:rPr>
          <w:sz w:val="23"/>
          <w:szCs w:val="23"/>
        </w:rPr>
        <w:t xml:space="preserve">antibodies; </w:t>
      </w:r>
      <w:r>
        <w:rPr>
          <w:sz w:val="23"/>
          <w:szCs w:val="23"/>
        </w:rPr>
        <w:t>92</w:t>
      </w:r>
      <w:r w:rsidR="008C541B">
        <w:rPr>
          <w:sz w:val="23"/>
          <w:szCs w:val="23"/>
        </w:rPr>
        <w:t>%</w:t>
      </w:r>
      <w:r w:rsidR="00FF4310">
        <w:rPr>
          <w:sz w:val="23"/>
          <w:szCs w:val="23"/>
        </w:rPr>
        <w:t xml:space="preserve"> with</w:t>
      </w:r>
      <w:r w:rsidR="008C541B">
        <w:rPr>
          <w:sz w:val="23"/>
          <w:szCs w:val="23"/>
        </w:rPr>
        <w:t xml:space="preserve"> egg-based vaccine</w:t>
      </w:r>
      <w:r w:rsidR="005C43E5">
        <w:rPr>
          <w:sz w:val="23"/>
          <w:szCs w:val="23"/>
        </w:rPr>
        <w:t xml:space="preserve"> antibodies</w:t>
      </w:r>
    </w:p>
    <w:p w14:paraId="7D9FDD77" w14:textId="3810D690" w:rsidR="00FF4310" w:rsidRPr="00754DFC" w:rsidRDefault="00754DFC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 influenza B/</w:t>
      </w:r>
      <w:r>
        <w:rPr>
          <w:sz w:val="23"/>
          <w:szCs w:val="23"/>
        </w:rPr>
        <w:t>Victoria</w:t>
      </w:r>
      <w:r w:rsidRPr="00FF4310">
        <w:rPr>
          <w:sz w:val="23"/>
          <w:szCs w:val="23"/>
        </w:rPr>
        <w:t xml:space="preserve"> samples were available for characterization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85039D1" w14:textId="1AAC60F9" w:rsidR="004A43D7" w:rsidRDefault="004A43D7" w:rsidP="004A2188">
      <w:pPr>
        <w:shd w:val="clear" w:color="auto" w:fill="FFFFFF" w:themeFill="background1"/>
        <w:rPr>
          <w:b/>
          <w:noProof/>
        </w:rPr>
        <w:sectPr w:rsidR="004A43D7" w:rsidSect="001341A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2D62D6" w14:textId="77777777" w:rsidR="00ED0D31" w:rsidRDefault="00ED0D31" w:rsidP="00097393">
      <w:pPr>
        <w:shd w:val="clear" w:color="auto" w:fill="FFFFFF" w:themeFill="background1"/>
        <w:rPr>
          <w:b/>
          <w:noProof/>
        </w:rPr>
        <w:sectPr w:rsidR="00ED0D31" w:rsidSect="004D10A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2C5ADB62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3A6FA3">
        <w:rPr>
          <w:b/>
          <w:noProof/>
        </w:rPr>
        <w:t>40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25332A" w:rsidRPr="002863C0" w14:paraId="0A9CF825" w14:textId="77777777" w:rsidTr="00ED0D31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2863C0" w:rsidRDefault="004A43D7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2863C0" w:rsidRDefault="00266949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4A43D7"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ospitalizations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  <w:r w:rsidR="008767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Trend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8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Severity </w:t>
            </w:r>
            <w:r w:rsidR="00266949" w:rsidRPr="00651870">
              <w:rPr>
                <w:rFonts w:ascii="Arial" w:hAnsi="Arial" w:cs="Arial"/>
                <w:b/>
                <w:bCs/>
                <w:sz w:val="20"/>
                <w:szCs w:val="20"/>
              </w:rPr>
              <w:t>Estimate</w:t>
            </w:r>
            <w:r w:rsidR="007E4790" w:rsidRPr="0065187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§</w:t>
            </w:r>
          </w:p>
        </w:tc>
      </w:tr>
      <w:tr w:rsidR="009C5AD9" w:rsidRPr="002863C0" w14:paraId="203AA38F" w14:textId="77777777" w:rsidTr="00697B1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0A77C2EE" w:rsidR="009C5AD9" w:rsidRPr="002863C0" w:rsidRDefault="003A6FA3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6CAD37E3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7FB3" w14:textId="0BEA4B88" w:rsidR="009C5AD9" w:rsidRPr="002863C0" w:rsidRDefault="003A6FA3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Plateau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0E5BF" w14:textId="67EA483C" w:rsidR="009C5AD9" w:rsidRPr="002863C0" w:rsidRDefault="009C5AD9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9C5AD9" w:rsidRPr="002863C0" w14:paraId="59C7FA29" w14:textId="77777777" w:rsidTr="00697B1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6DCF86D3" w:rsidR="009C5AD9" w:rsidRPr="002863C0" w:rsidRDefault="003A6FA3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32320E88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BE36" w14:textId="1C03F99E" w:rsidR="009C5AD9" w:rsidRPr="002863C0" w:rsidRDefault="003A6FA3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Plateau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CE208" w14:textId="11B8D99D" w:rsidR="009C5AD9" w:rsidRPr="002863C0" w:rsidRDefault="009C5AD9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9C5AD9" w:rsidRPr="002863C0" w14:paraId="4220CEE3" w14:textId="77777777" w:rsidTr="00697B1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598ED232" w:rsidR="009C5AD9" w:rsidRPr="002863C0" w:rsidRDefault="003A6FA3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28E4EB22" w:rsidR="009C5AD9" w:rsidRPr="002863C0" w:rsidRDefault="003A6FA3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3928" w14:textId="2D0603DF" w:rsidR="009C5AD9" w:rsidRPr="002863C0" w:rsidRDefault="003A6FA3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Plateau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3765F" w14:textId="48AD8F9C" w:rsidR="009C5AD9" w:rsidRPr="002863C0" w:rsidRDefault="009C5AD9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9C5AD9" w:rsidRPr="002863C0" w14:paraId="311B0803" w14:textId="77777777" w:rsidTr="00697B1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0BF9CB08" w:rsidR="009C5AD9" w:rsidRPr="002863C0" w:rsidRDefault="003A6FA3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4BA737EE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3D8D" w14:textId="2F0DDD12" w:rsidR="009C5AD9" w:rsidRPr="002863C0" w:rsidRDefault="003A6FA3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FA3">
              <w:rPr>
                <w:rFonts w:ascii="Arial" w:hAnsi="Arial" w:cs="Arial"/>
                <w:color w:val="000000"/>
                <w:sz w:val="20"/>
                <w:szCs w:val="20"/>
              </w:rPr>
              <w:t>Sustained Increase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00FF" w14:textId="43DCBDF5" w:rsidR="009C5AD9" w:rsidRPr="002863C0" w:rsidRDefault="009C5AD9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9C5AD9" w:rsidRPr="002863C0" w14:paraId="6813F2B4" w14:textId="77777777" w:rsidTr="00697B1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48621A38" w:rsidR="009C5AD9" w:rsidRPr="002863C0" w:rsidRDefault="003A6FA3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14E47FBD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C79A" w14:textId="39A8EC5C" w:rsidR="009C5AD9" w:rsidRPr="002863C0" w:rsidRDefault="003A6FA3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FA3">
              <w:rPr>
                <w:rFonts w:ascii="Arial" w:hAnsi="Arial" w:cs="Arial"/>
                <w:color w:val="000000"/>
                <w:sz w:val="20"/>
                <w:szCs w:val="20"/>
              </w:rPr>
              <w:t>Sustained Decrease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C4585" w14:textId="17E1223E" w:rsidR="009C5AD9" w:rsidRPr="002863C0" w:rsidRDefault="009C5AD9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9C5AD9" w:rsidRPr="002863C0" w14:paraId="1A9FB1D3" w14:textId="77777777" w:rsidTr="00697B1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6A62675B" w:rsidR="009C5AD9" w:rsidRPr="002863C0" w:rsidRDefault="003A6FA3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09C11902" w:rsidR="009C5AD9" w:rsidRPr="002863C0" w:rsidRDefault="003A6FA3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912E" w14:textId="61648753" w:rsidR="009C5AD9" w:rsidRPr="002863C0" w:rsidRDefault="003A6FA3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Plateau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C7E21" w14:textId="0A849F33" w:rsidR="009C5AD9" w:rsidRPr="002863C0" w:rsidRDefault="009C5AD9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9C5AD9" w:rsidRPr="002863C0" w14:paraId="70509802" w14:textId="77777777" w:rsidTr="00697B1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057E1C32" w:rsidR="009C5AD9" w:rsidRPr="002863C0" w:rsidRDefault="003A6FA3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0E41D215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4390" w14:textId="2002F828" w:rsidR="009C5AD9" w:rsidRPr="002863C0" w:rsidRDefault="003A6FA3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FA3">
              <w:rPr>
                <w:rFonts w:ascii="Arial" w:hAnsi="Arial" w:cs="Arial"/>
                <w:color w:val="000000"/>
                <w:sz w:val="20"/>
                <w:szCs w:val="20"/>
              </w:rPr>
              <w:t>Sustained Decrease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A1B6" w14:textId="44AB5406" w:rsidR="009C5AD9" w:rsidRPr="002863C0" w:rsidRDefault="009C5AD9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9C5AD9" w:rsidRPr="002863C0" w14:paraId="0BB5CCC4" w14:textId="77777777" w:rsidTr="00697B1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710B55B8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42FFA620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7F84" w14:textId="5C1359B2" w:rsidR="009C5AD9" w:rsidRPr="002863C0" w:rsidRDefault="003A6FA3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FA3">
              <w:rPr>
                <w:rFonts w:ascii="Arial" w:hAnsi="Arial" w:cs="Arial"/>
                <w:color w:val="000000"/>
                <w:sz w:val="20"/>
                <w:szCs w:val="20"/>
              </w:rPr>
              <w:t>Sustained Decrease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AFBD" w14:textId="0E37986E" w:rsidR="009C5AD9" w:rsidRPr="002863C0" w:rsidRDefault="009C5AD9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9C5AD9" w:rsidRPr="002863C0" w14:paraId="13039716" w14:textId="77777777" w:rsidTr="00697B1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3F29517C" w:rsidR="009C5AD9" w:rsidRPr="002863C0" w:rsidRDefault="003A6FA3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41ABC9A3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0E83" w14:textId="4D6F9311" w:rsidR="009C5AD9" w:rsidRPr="002863C0" w:rsidRDefault="003A6FA3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FA3">
              <w:rPr>
                <w:rFonts w:ascii="Arial" w:hAnsi="Arial" w:cs="Arial"/>
                <w:color w:val="000000"/>
                <w:sz w:val="20"/>
                <w:szCs w:val="20"/>
              </w:rPr>
              <w:t>Sustained Increase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480F1" w14:textId="1618A09A" w:rsidR="009C5AD9" w:rsidRPr="002863C0" w:rsidRDefault="009C5AD9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9C5AD9" w:rsidRPr="002863C0" w14:paraId="6E6E3229" w14:textId="77777777" w:rsidTr="00697B1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56E4B55D" w:rsidR="009C5AD9" w:rsidRPr="002863C0" w:rsidRDefault="003A6FA3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57364B9D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E06C" w14:textId="37502363" w:rsidR="009C5AD9" w:rsidRPr="002863C0" w:rsidRDefault="003A6FA3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Plateau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F7A29" w14:textId="481819A2" w:rsidR="009C5AD9" w:rsidRPr="002863C0" w:rsidRDefault="009C5AD9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9C5AD9" w:rsidRPr="002863C0" w14:paraId="3C0D1A53" w14:textId="77777777" w:rsidTr="00697B1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0C4AA967" w:rsidR="009C5AD9" w:rsidRPr="002863C0" w:rsidRDefault="003A6FA3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65203DF4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716B" w14:textId="7E8ED4D2" w:rsidR="009C5AD9" w:rsidRPr="002863C0" w:rsidRDefault="003A6FA3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Plateau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C1A1" w14:textId="0B218DA7" w:rsidR="009C5AD9" w:rsidRPr="002863C0" w:rsidRDefault="003A6FA3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moderate</w:t>
            </w:r>
          </w:p>
        </w:tc>
      </w:tr>
      <w:tr w:rsidR="009C5AD9" w:rsidRPr="002863C0" w14:paraId="75F3757F" w14:textId="77777777" w:rsidTr="00697B1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29C09AB1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0C1B79D6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CD09" w14:textId="33E99DD9" w:rsidR="009C5AD9" w:rsidRPr="002863C0" w:rsidRDefault="003A6FA3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FA3">
              <w:rPr>
                <w:rFonts w:ascii="Arial" w:hAnsi="Arial" w:cs="Arial"/>
                <w:color w:val="000000"/>
                <w:sz w:val="20"/>
                <w:szCs w:val="20"/>
              </w:rPr>
              <w:t>Sustained Increase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EB21B" w14:textId="78DE4618" w:rsidR="009C5AD9" w:rsidRPr="002863C0" w:rsidRDefault="009C5AD9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9C5AD9" w:rsidRPr="002863C0" w14:paraId="39E7D0EC" w14:textId="77777777" w:rsidTr="00697B1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5A5675DE" w:rsidR="009C5AD9" w:rsidRPr="002863C0" w:rsidRDefault="003A6FA3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31807C61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2D56" w14:textId="5ACB6A79" w:rsidR="009C5AD9" w:rsidRPr="002863C0" w:rsidRDefault="003A6FA3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FA3">
              <w:rPr>
                <w:rFonts w:ascii="Arial" w:hAnsi="Arial" w:cs="Arial"/>
                <w:color w:val="000000"/>
                <w:sz w:val="20"/>
                <w:szCs w:val="20"/>
              </w:rPr>
              <w:t>Sustained Increase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CF38B" w14:textId="206D83E5" w:rsidR="009C5AD9" w:rsidRPr="002863C0" w:rsidRDefault="009C5AD9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9C5AD9" w:rsidRPr="002863C0" w14:paraId="7BA5E65B" w14:textId="77777777" w:rsidTr="00697B1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62C4F6FE" w:rsidR="009C5AD9" w:rsidRPr="002863C0" w:rsidRDefault="003A6FA3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3E39D0F1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56BB" w14:textId="2BE991EF" w:rsidR="009C5AD9" w:rsidRPr="002863C0" w:rsidRDefault="003A6FA3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FA3">
              <w:rPr>
                <w:rFonts w:ascii="Arial" w:hAnsi="Arial" w:cs="Arial"/>
                <w:color w:val="000000"/>
                <w:sz w:val="20"/>
                <w:szCs w:val="20"/>
              </w:rPr>
              <w:t>Sustained Increase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BF8D4" w14:textId="0B2B103D" w:rsidR="009C5AD9" w:rsidRPr="002863C0" w:rsidRDefault="009C5AD9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9C5AD9" w:rsidRPr="002863C0" w14:paraId="07C5CFFD" w14:textId="77777777" w:rsidTr="00697B1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0C69C862" w:rsidR="009C5AD9" w:rsidRPr="002863C0" w:rsidRDefault="003A6FA3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7CA6006D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CE86" w14:textId="53828C3A" w:rsidR="009C5AD9" w:rsidRPr="002863C0" w:rsidRDefault="003A6FA3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FA3">
              <w:rPr>
                <w:rFonts w:ascii="Arial" w:hAnsi="Arial" w:cs="Arial"/>
                <w:color w:val="000000"/>
                <w:sz w:val="20"/>
                <w:szCs w:val="20"/>
              </w:rPr>
              <w:t>Sustained Decrease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7EC02" w14:textId="2D238A3F" w:rsidR="009C5AD9" w:rsidRPr="002863C0" w:rsidRDefault="009C5AD9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9C5AD9" w:rsidRPr="002863C0" w14:paraId="3B79B1F9" w14:textId="77777777" w:rsidTr="00697B1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9C5AD9" w:rsidRPr="002863C0" w:rsidRDefault="009C5AD9" w:rsidP="009C5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6B9D9088" w:rsidR="009C5AD9" w:rsidRPr="002863C0" w:rsidRDefault="003A6FA3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39FC534A" w:rsidR="009C5AD9" w:rsidRPr="002863C0" w:rsidRDefault="003A6FA3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FA90" w14:textId="20C3DA64" w:rsidR="009C5AD9" w:rsidRPr="002863C0" w:rsidRDefault="003A6FA3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FA3">
              <w:rPr>
                <w:rFonts w:ascii="Arial" w:hAnsi="Arial" w:cs="Arial"/>
                <w:color w:val="000000"/>
                <w:sz w:val="20"/>
                <w:szCs w:val="20"/>
              </w:rPr>
              <w:t>Sustained Decrease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6086" w14:textId="6363401F" w:rsidR="009C5AD9" w:rsidRPr="002863C0" w:rsidRDefault="009C5AD9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9C5AD9" w:rsidRPr="002863C0" w14:paraId="0BBB4864" w14:textId="77777777" w:rsidTr="00697B1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9C5AD9" w:rsidRPr="002863C0" w:rsidRDefault="009C5AD9" w:rsidP="009C5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4B0BDA14" w:rsidR="009C5AD9" w:rsidRPr="002863C0" w:rsidRDefault="003A6FA3" w:rsidP="009C5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3E12A38D" w:rsidR="009C5AD9" w:rsidRPr="002863C0" w:rsidRDefault="003A6FA3" w:rsidP="009C5AD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497CC9B" w:rsidR="009C5AD9" w:rsidRPr="002863C0" w:rsidRDefault="009C5AD9" w:rsidP="009C5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1C4FEDA2" w:rsidR="009C5AD9" w:rsidRPr="002863C0" w:rsidRDefault="009C5AD9" w:rsidP="009C5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2AD4CD9E" w14:textId="3EB89C1A" w:rsidR="00770445" w:rsidRDefault="007E4790" w:rsidP="00770445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3B23092D" w14:textId="4875B5E1" w:rsidR="00786501" w:rsidRDefault="00786501" w:rsidP="00F66B31">
      <w:pPr>
        <w:jc w:val="center"/>
        <w:rPr>
          <w:b/>
          <w:noProof/>
        </w:rPr>
      </w:pPr>
    </w:p>
    <w:p w14:paraId="4AD45B47" w14:textId="77777777" w:rsidR="00087213" w:rsidRDefault="00087213" w:rsidP="00F66B31">
      <w:pPr>
        <w:jc w:val="center"/>
        <w:rPr>
          <w:b/>
          <w:noProof/>
        </w:rPr>
        <w:sectPr w:rsidR="00087213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B2DC70C" w14:textId="683906EF" w:rsidR="00770445" w:rsidRPr="00CE3A57" w:rsidRDefault="00CE3A57" w:rsidP="00CE3A57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  <w:r w:rsidR="00770445" w:rsidRPr="00CE3A57">
        <w:rPr>
          <w:b/>
          <w:noProof/>
          <w:sz w:val="20"/>
          <w:szCs w:val="20"/>
        </w:rPr>
        <w:t xml:space="preserve">Influenza </w:t>
      </w:r>
      <w:r w:rsidR="00087213" w:rsidRPr="00CE3A57">
        <w:rPr>
          <w:b/>
          <w:noProof/>
          <w:sz w:val="20"/>
          <w:szCs w:val="20"/>
        </w:rPr>
        <w:t>Activity</w:t>
      </w:r>
      <w:r w:rsidR="00266949" w:rsidRPr="00CE3A57">
        <w:rPr>
          <w:b/>
          <w:noProof/>
          <w:sz w:val="20"/>
          <w:szCs w:val="20"/>
        </w:rPr>
        <w:t xml:space="preserve"> </w:t>
      </w:r>
      <w:r w:rsidR="00087213" w:rsidRPr="00CE3A57">
        <w:rPr>
          <w:b/>
          <w:noProof/>
          <w:sz w:val="20"/>
          <w:szCs w:val="20"/>
        </w:rPr>
        <w:t>Trends</w:t>
      </w:r>
      <w:r w:rsidR="00770445" w:rsidRPr="00CE3A57">
        <w:rPr>
          <w:b/>
          <w:noProof/>
          <w:sz w:val="20"/>
          <w:szCs w:val="20"/>
        </w:rPr>
        <w:t xml:space="preserve">, </w:t>
      </w:r>
      <w:r w:rsidR="00ED0D31" w:rsidRPr="00CE3A57">
        <w:rPr>
          <w:b/>
          <w:noProof/>
          <w:sz w:val="20"/>
          <w:szCs w:val="20"/>
        </w:rPr>
        <w:t xml:space="preserve">Maine, 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3A6FA3">
        <w:rPr>
          <w:b/>
          <w:noProof/>
          <w:sz w:val="20"/>
          <w:szCs w:val="20"/>
        </w:rPr>
        <w:t>40</w:t>
      </w:r>
    </w:p>
    <w:p w14:paraId="17055CD3" w14:textId="7F7EB8F2" w:rsidR="00ED0D31" w:rsidRPr="00CE3A57" w:rsidRDefault="00CE3A57" w:rsidP="00CE3A57">
      <w:pPr>
        <w:rPr>
          <w:b/>
          <w:noProof/>
          <w:sz w:val="20"/>
          <w:szCs w:val="20"/>
        </w:rPr>
        <w:sectPr w:rsidR="00ED0D31" w:rsidRPr="00CE3A57" w:rsidSect="0008721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b/>
          <w:noProof/>
          <w:sz w:val="20"/>
          <w:szCs w:val="20"/>
        </w:rPr>
        <w:t xml:space="preserve">   </w:t>
      </w:r>
      <w:r w:rsidR="00087213" w:rsidRPr="00CE3A57">
        <w:rPr>
          <w:b/>
          <w:noProof/>
          <w:sz w:val="20"/>
          <w:szCs w:val="20"/>
        </w:rPr>
        <w:t xml:space="preserve">Influenza Severity Estimates, Maine Week  </w:t>
      </w:r>
      <w:r w:rsidR="003A6FA3">
        <w:rPr>
          <w:b/>
          <w:noProof/>
          <w:sz w:val="20"/>
          <w:szCs w:val="20"/>
        </w:rPr>
        <w:t>40</w:t>
      </w:r>
    </w:p>
    <w:p w14:paraId="6639F5B1" w14:textId="66CF42C4" w:rsidR="00770445" w:rsidRPr="00050158" w:rsidRDefault="0026707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</w:rPr>
        <w:drawing>
          <wp:anchor distT="0" distB="0" distL="114300" distR="114300" simplePos="0" relativeHeight="251677696" behindDoc="0" locked="0" layoutInCell="1" allowOverlap="1" wp14:anchorId="462AFDFF" wp14:editId="7D56BD13">
            <wp:simplePos x="0" y="0"/>
            <wp:positionH relativeFrom="column">
              <wp:posOffset>3482340</wp:posOffset>
            </wp:positionH>
            <wp:positionV relativeFrom="paragraph">
              <wp:posOffset>5715</wp:posOffset>
            </wp:positionV>
            <wp:extent cx="2788920" cy="3245396"/>
            <wp:effectExtent l="0" t="0" r="0" b="0"/>
            <wp:wrapNone/>
            <wp:docPr id="16491981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342" cy="325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C92">
        <w:rPr>
          <w:noProof/>
        </w:rPr>
        <w:drawing>
          <wp:inline distT="0" distB="0" distL="0" distR="0" wp14:anchorId="28739EC4" wp14:editId="1B7BF445">
            <wp:extent cx="2834640" cy="3284220"/>
            <wp:effectExtent l="0" t="0" r="3810" b="0"/>
            <wp:docPr id="1957762839" name="Picture 6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762839" name="Picture 6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7C92">
        <w:rPr>
          <w:noProof/>
        </w:rPr>
        <w:t xml:space="preserve"> </w:t>
      </w:r>
    </w:p>
    <w:p w14:paraId="27A69DD8" w14:textId="7576BD8D" w:rsidR="00087213" w:rsidRDefault="00087213" w:rsidP="00F66B31">
      <w:pPr>
        <w:rPr>
          <w:b/>
        </w:rPr>
      </w:pPr>
      <w:r>
        <w:rPr>
          <w:b/>
        </w:rPr>
        <w:t xml:space="preserve"> </w:t>
      </w:r>
    </w:p>
    <w:p w14:paraId="10AA95C4" w14:textId="0AC2A6C4" w:rsidR="002464DE" w:rsidRDefault="005D539F" w:rsidP="00F66B31">
      <w:pPr>
        <w:rPr>
          <w:b/>
        </w:r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13DE3E74" w14:textId="77777777" w:rsidR="00FB6C81" w:rsidRDefault="00FB6C81" w:rsidP="00A360C3">
      <w:pPr>
        <w:tabs>
          <w:tab w:val="left" w:pos="1080"/>
        </w:tabs>
        <w:rPr>
          <w:b/>
        </w:rPr>
        <w:sectPr w:rsidR="00FB6C81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BD76027" w14:textId="3AF63F11" w:rsidR="00A04C20" w:rsidRDefault="00A04C20" w:rsidP="00E146EE">
      <w:pPr>
        <w:tabs>
          <w:tab w:val="left" w:pos="1080"/>
        </w:tabs>
        <w:jc w:val="center"/>
        <w:rPr>
          <w:b/>
        </w:rPr>
        <w:sectPr w:rsidR="00A04C20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63461B99" w14:textId="77777777" w:rsidR="00A04C20" w:rsidRDefault="00A04C20" w:rsidP="00A04C20">
      <w:pPr>
        <w:rPr>
          <w:b/>
          <w:sz w:val="16"/>
        </w:rPr>
      </w:pPr>
    </w:p>
    <w:p w14:paraId="4C8B97CB" w14:textId="77777777" w:rsidR="00A04C20" w:rsidRDefault="00A04C20" w:rsidP="00A04C20">
      <w:pPr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1870"/>
        <w:gridCol w:w="829"/>
        <w:gridCol w:w="829"/>
        <w:gridCol w:w="829"/>
      </w:tblGrid>
      <w:tr w:rsidR="00FB6C81" w14:paraId="09231ADA" w14:textId="77777777" w:rsidTr="00A360C3">
        <w:tc>
          <w:tcPr>
            <w:tcW w:w="1870" w:type="dxa"/>
            <w:vMerge w:val="restart"/>
            <w:shd w:val="clear" w:color="auto" w:fill="D9D9D9" w:themeFill="background1" w:themeFillShade="D9"/>
          </w:tcPr>
          <w:p w14:paraId="4961962A" w14:textId="5C35FC5F" w:rsidR="00FB6C81" w:rsidRPr="00E146EE" w:rsidRDefault="00FB6C81" w:rsidP="00A360C3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2487" w:type="dxa"/>
            <w:gridSpan w:val="3"/>
            <w:shd w:val="clear" w:color="auto" w:fill="D9D9D9" w:themeFill="background1" w:themeFillShade="D9"/>
          </w:tcPr>
          <w:p w14:paraId="28A2D070" w14:textId="183C58AB" w:rsidR="00FB6C81" w:rsidRPr="00C76D66" w:rsidRDefault="00FB6C81" w:rsidP="00A360C3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Age (years)</w:t>
            </w:r>
          </w:p>
        </w:tc>
      </w:tr>
      <w:tr w:rsidR="00FB6C81" w14:paraId="4C571449" w14:textId="77777777" w:rsidTr="00A360C3">
        <w:tc>
          <w:tcPr>
            <w:tcW w:w="1870" w:type="dxa"/>
            <w:vMerge/>
            <w:shd w:val="clear" w:color="auto" w:fill="D9D9D9" w:themeFill="background1" w:themeFillShade="D9"/>
          </w:tcPr>
          <w:p w14:paraId="4ADBC1C5" w14:textId="77777777" w:rsidR="00FB6C81" w:rsidRPr="00E146EE" w:rsidRDefault="00FB6C81" w:rsidP="00A360C3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</w:tcPr>
          <w:p w14:paraId="6BA5749C" w14:textId="5E2266DF" w:rsidR="00FB6C81" w:rsidRDefault="00FB6C81" w:rsidP="00A360C3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Min.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457780E7" w14:textId="7478B26D" w:rsidR="00FB6C81" w:rsidRDefault="00FB6C81" w:rsidP="00A360C3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1498FE0E" w14:textId="68D14F2D" w:rsidR="00FB6C81" w:rsidRDefault="00FB6C81" w:rsidP="00A360C3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Max.</w:t>
            </w:r>
          </w:p>
        </w:tc>
      </w:tr>
      <w:tr w:rsidR="00786501" w14:paraId="6C94498C" w14:textId="77777777" w:rsidTr="00B4764A">
        <w:tc>
          <w:tcPr>
            <w:tcW w:w="1870" w:type="dxa"/>
          </w:tcPr>
          <w:p w14:paraId="22C9DF95" w14:textId="51683B44" w:rsidR="00786501" w:rsidRPr="00E146EE" w:rsidRDefault="00786501" w:rsidP="00786501">
            <w:pPr>
              <w:tabs>
                <w:tab w:val="left" w:pos="1080"/>
              </w:tabs>
              <w:rPr>
                <w:b/>
                <w:bCs/>
              </w:rPr>
            </w:pPr>
            <w:r w:rsidRPr="00C76D66">
              <w:rPr>
                <w:b/>
              </w:rPr>
              <w:t>Cases</w:t>
            </w:r>
          </w:p>
        </w:tc>
        <w:tc>
          <w:tcPr>
            <w:tcW w:w="829" w:type="dxa"/>
            <w:vAlign w:val="bottom"/>
          </w:tcPr>
          <w:p w14:paraId="35932E6C" w14:textId="5D71FA64" w:rsidR="00786501" w:rsidRPr="00786501" w:rsidRDefault="000519D5" w:rsidP="00786501">
            <w:pPr>
              <w:tabs>
                <w:tab w:val="left" w:pos="1080"/>
              </w:tabs>
              <w:jc w:val="center"/>
            </w:pPr>
            <w:r>
              <w:t>4</w:t>
            </w:r>
          </w:p>
        </w:tc>
        <w:tc>
          <w:tcPr>
            <w:tcW w:w="829" w:type="dxa"/>
          </w:tcPr>
          <w:p w14:paraId="6A68B029" w14:textId="39C14163" w:rsidR="00786501" w:rsidRPr="00786501" w:rsidRDefault="00786501" w:rsidP="00786501">
            <w:pPr>
              <w:tabs>
                <w:tab w:val="left" w:pos="1080"/>
              </w:tabs>
              <w:jc w:val="center"/>
            </w:pPr>
            <w:r w:rsidRPr="00786501">
              <w:t>2</w:t>
            </w:r>
            <w:r w:rsidR="007275EB">
              <w:t>8</w:t>
            </w:r>
          </w:p>
        </w:tc>
        <w:tc>
          <w:tcPr>
            <w:tcW w:w="829" w:type="dxa"/>
          </w:tcPr>
          <w:p w14:paraId="4D3B074F" w14:textId="7E92CFF5" w:rsidR="00786501" w:rsidRPr="00786501" w:rsidRDefault="000519D5" w:rsidP="00786501">
            <w:pPr>
              <w:tabs>
                <w:tab w:val="left" w:pos="1080"/>
              </w:tabs>
              <w:jc w:val="center"/>
            </w:pPr>
            <w:r>
              <w:t>74</w:t>
            </w:r>
          </w:p>
        </w:tc>
      </w:tr>
      <w:tr w:rsidR="00786501" w14:paraId="261B9B79" w14:textId="77777777" w:rsidTr="00B4764A">
        <w:tc>
          <w:tcPr>
            <w:tcW w:w="1870" w:type="dxa"/>
          </w:tcPr>
          <w:p w14:paraId="0FD676A0" w14:textId="6892A0F6" w:rsidR="00786501" w:rsidRPr="00E146EE" w:rsidRDefault="00786501" w:rsidP="00786501">
            <w:pPr>
              <w:tabs>
                <w:tab w:val="left" w:pos="1080"/>
              </w:tabs>
              <w:rPr>
                <w:b/>
                <w:bCs/>
              </w:rPr>
            </w:pPr>
            <w:r w:rsidRPr="00C76D66">
              <w:rPr>
                <w:b/>
              </w:rPr>
              <w:t>Hospita</w:t>
            </w:r>
            <w:r>
              <w:rPr>
                <w:b/>
              </w:rPr>
              <w:t>lizations</w:t>
            </w:r>
          </w:p>
        </w:tc>
        <w:tc>
          <w:tcPr>
            <w:tcW w:w="829" w:type="dxa"/>
            <w:vAlign w:val="bottom"/>
          </w:tcPr>
          <w:p w14:paraId="319187DB" w14:textId="5F8B1BEF" w:rsidR="00786501" w:rsidRPr="00786501" w:rsidRDefault="00E410FC" w:rsidP="00786501">
            <w:pPr>
              <w:tabs>
                <w:tab w:val="left" w:pos="1080"/>
              </w:tabs>
              <w:jc w:val="center"/>
            </w:pPr>
            <w:r>
              <w:t>-</w:t>
            </w:r>
          </w:p>
        </w:tc>
        <w:tc>
          <w:tcPr>
            <w:tcW w:w="829" w:type="dxa"/>
          </w:tcPr>
          <w:p w14:paraId="3715AB16" w14:textId="71CBA0A8" w:rsidR="00786501" w:rsidRPr="00786501" w:rsidRDefault="00786501" w:rsidP="00786501">
            <w:pPr>
              <w:tabs>
                <w:tab w:val="left" w:pos="1080"/>
              </w:tabs>
              <w:jc w:val="center"/>
            </w:pPr>
          </w:p>
        </w:tc>
        <w:tc>
          <w:tcPr>
            <w:tcW w:w="829" w:type="dxa"/>
          </w:tcPr>
          <w:p w14:paraId="55512C41" w14:textId="2FEAD0D2" w:rsidR="00786501" w:rsidRPr="00786501" w:rsidRDefault="00786501" w:rsidP="00786501">
            <w:pPr>
              <w:tabs>
                <w:tab w:val="left" w:pos="1080"/>
              </w:tabs>
              <w:jc w:val="center"/>
            </w:pPr>
          </w:p>
        </w:tc>
      </w:tr>
      <w:tr w:rsidR="00786501" w14:paraId="54C57E54" w14:textId="77777777" w:rsidTr="00B4764A">
        <w:tc>
          <w:tcPr>
            <w:tcW w:w="1870" w:type="dxa"/>
          </w:tcPr>
          <w:p w14:paraId="0C282CFA" w14:textId="5E9DB9CF" w:rsidR="00786501" w:rsidRPr="00E146EE" w:rsidRDefault="00786501" w:rsidP="00786501">
            <w:pPr>
              <w:tabs>
                <w:tab w:val="left" w:pos="1080"/>
              </w:tabs>
              <w:rPr>
                <w:b/>
                <w:bCs/>
              </w:rPr>
            </w:pPr>
            <w:r w:rsidRPr="00C76D66">
              <w:rPr>
                <w:b/>
              </w:rPr>
              <w:t>Deaths</w:t>
            </w:r>
          </w:p>
        </w:tc>
        <w:tc>
          <w:tcPr>
            <w:tcW w:w="829" w:type="dxa"/>
          </w:tcPr>
          <w:p w14:paraId="7C523940" w14:textId="52DB8313" w:rsidR="00786501" w:rsidRPr="00786501" w:rsidRDefault="00E410FC" w:rsidP="00786501">
            <w:pPr>
              <w:tabs>
                <w:tab w:val="left" w:pos="1080"/>
              </w:tabs>
              <w:jc w:val="center"/>
            </w:pPr>
            <w:r>
              <w:t>-</w:t>
            </w:r>
          </w:p>
        </w:tc>
        <w:tc>
          <w:tcPr>
            <w:tcW w:w="829" w:type="dxa"/>
          </w:tcPr>
          <w:p w14:paraId="796B428F" w14:textId="4D408C67" w:rsidR="00786501" w:rsidRPr="00786501" w:rsidRDefault="00786501" w:rsidP="00786501">
            <w:pPr>
              <w:tabs>
                <w:tab w:val="left" w:pos="1080"/>
              </w:tabs>
              <w:jc w:val="center"/>
            </w:pPr>
          </w:p>
        </w:tc>
        <w:tc>
          <w:tcPr>
            <w:tcW w:w="829" w:type="dxa"/>
          </w:tcPr>
          <w:p w14:paraId="22E560F6" w14:textId="1FA6A2E9" w:rsidR="00786501" w:rsidRPr="00786501" w:rsidRDefault="00786501" w:rsidP="00786501">
            <w:pPr>
              <w:tabs>
                <w:tab w:val="left" w:pos="1080"/>
              </w:tabs>
              <w:jc w:val="center"/>
            </w:pPr>
          </w:p>
        </w:tc>
      </w:tr>
    </w:tbl>
    <w:p w14:paraId="7DA61434" w14:textId="77777777" w:rsidR="00A04C20" w:rsidRDefault="00A04C20" w:rsidP="00A04C20">
      <w:pPr>
        <w:rPr>
          <w:b/>
          <w:sz w:val="16"/>
          <w:szCs w:val="16"/>
        </w:rPr>
      </w:pPr>
    </w:p>
    <w:p w14:paraId="69A62626" w14:textId="77777777" w:rsidR="00A04C20" w:rsidRDefault="00A04C20" w:rsidP="00A04C20">
      <w:pPr>
        <w:rPr>
          <w:b/>
          <w:sz w:val="16"/>
          <w:szCs w:val="16"/>
        </w:rPr>
      </w:pPr>
    </w:p>
    <w:p w14:paraId="5C77826E" w14:textId="77777777" w:rsidR="00FB6C81" w:rsidRDefault="007D25B8" w:rsidP="00F2198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2417E7F0" w14:textId="77777777" w:rsidR="00FB6C81" w:rsidRDefault="00FB6C81" w:rsidP="00F21984">
      <w:pPr>
        <w:jc w:val="center"/>
        <w:rPr>
          <w:b/>
          <w:sz w:val="16"/>
          <w:szCs w:val="16"/>
        </w:rPr>
      </w:pPr>
    </w:p>
    <w:p w14:paraId="21A635AE" w14:textId="77777777" w:rsidR="00A360C3" w:rsidRDefault="00A360C3" w:rsidP="00F21984">
      <w:pPr>
        <w:jc w:val="center"/>
        <w:rPr>
          <w:b/>
          <w:sz w:val="16"/>
          <w:szCs w:val="16"/>
        </w:rPr>
      </w:pPr>
    </w:p>
    <w:p w14:paraId="6A971F2D" w14:textId="77777777" w:rsidR="00A360C3" w:rsidRDefault="00A360C3" w:rsidP="00F21984">
      <w:pPr>
        <w:jc w:val="center"/>
        <w:rPr>
          <w:b/>
          <w:sz w:val="16"/>
          <w:szCs w:val="16"/>
        </w:rPr>
      </w:pPr>
    </w:p>
    <w:p w14:paraId="1D7F3F36" w14:textId="19ED20C9" w:rsidR="00A04C20" w:rsidRDefault="00A360C3" w:rsidP="00343397">
      <w:pPr>
        <w:rPr>
          <w:b/>
          <w:sz w:val="16"/>
          <w:szCs w:val="16"/>
        </w:rPr>
        <w:sectPr w:rsidR="00A04C20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  <w:r>
        <w:rPr>
          <w:b/>
          <w:sz w:val="16"/>
          <w:szCs w:val="16"/>
        </w:rPr>
        <w:t xml:space="preserve">                        </w:t>
      </w:r>
      <w:r w:rsidR="00A04C20" w:rsidRPr="00F662B6">
        <w:rPr>
          <w:b/>
          <w:sz w:val="16"/>
          <w:szCs w:val="16"/>
        </w:rPr>
        <w:t>Positive Influenza</w:t>
      </w:r>
      <w:r w:rsidR="00A04C20" w:rsidRPr="00050158">
        <w:rPr>
          <w:b/>
          <w:sz w:val="16"/>
          <w:szCs w:val="16"/>
        </w:rPr>
        <w:t xml:space="preserve"> Tests by Age</w:t>
      </w:r>
      <w:r w:rsidR="00A04C20">
        <w:rPr>
          <w:b/>
          <w:sz w:val="16"/>
          <w:szCs w:val="16"/>
        </w:rPr>
        <w:t xml:space="preserve"> and Hospitalization Status</w:t>
      </w:r>
      <w:r w:rsidR="00A04C20" w:rsidRPr="00050158">
        <w:rPr>
          <w:b/>
          <w:sz w:val="16"/>
          <w:szCs w:val="16"/>
        </w:rPr>
        <w:t xml:space="preserve"> – Maine, 20</w:t>
      </w:r>
      <w:r w:rsidR="00A04C20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A04C20"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  <w:r w:rsidR="00A04C20" w:rsidRPr="00A04C20">
        <w:rPr>
          <w:noProof/>
        </w:rPr>
        <w:t xml:space="preserve"> </w:t>
      </w:r>
      <w:r w:rsidR="00216690">
        <w:rPr>
          <w:noProof/>
        </w:rPr>
        <w:drawing>
          <wp:inline distT="0" distB="0" distL="0" distR="0" wp14:anchorId="390F90D8" wp14:editId="40573105">
            <wp:extent cx="3941064" cy="1901952"/>
            <wp:effectExtent l="0" t="0" r="2540" b="3175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3B2BA50" w14:textId="128D4BEC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15C60842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4407723C" w14:textId="64E72D79" w:rsidR="00E146EE" w:rsidRDefault="007E1FFF" w:rsidP="00F21984">
      <w:pPr>
        <w:rPr>
          <w:b/>
        </w:rPr>
      </w:pPr>
      <w:r w:rsidRPr="00F10EF3">
        <w:rPr>
          <w:b/>
        </w:rPr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127BE727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002FB5E1" w:rsidR="00906328" w:rsidRPr="000870E7" w:rsidRDefault="000519D5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77777777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3837D2BC" w:rsidR="00906328" w:rsidRPr="00FE11DD" w:rsidRDefault="000519D5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25628D34" w14:textId="49E06824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6EA19BD2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6C007258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567436F" w14:textId="77777777" w:rsidR="001C779F" w:rsidRPr="00E93A97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  <w:p w14:paraId="1592E00E" w14:textId="77777777" w:rsidR="001C779F" w:rsidRDefault="001C779F" w:rsidP="009063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7567436F" w14:textId="77777777" w:rsidR="001C779F" w:rsidRPr="00E93A97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  <w:p w14:paraId="1592E00E" w14:textId="77777777" w:rsidR="001C779F" w:rsidRDefault="001C779F" w:rsidP="00906328"/>
                  </w:txbxContent>
                </v:textbox>
              </v:shape>
            </w:pict>
          </mc:Fallback>
        </mc:AlternateContent>
      </w:r>
    </w:p>
    <w:p w14:paraId="492B7503" w14:textId="6FAEFE2B" w:rsidR="00343397" w:rsidRDefault="00343397" w:rsidP="00911117">
      <w:pPr>
        <w:tabs>
          <w:tab w:val="left" w:pos="1080"/>
        </w:tabs>
        <w:jc w:val="center"/>
        <w:rPr>
          <w:b/>
        </w:rPr>
      </w:pPr>
    </w:p>
    <w:p w14:paraId="2759A52B" w14:textId="744521FA" w:rsidR="00343397" w:rsidRDefault="00343397" w:rsidP="00911117">
      <w:pPr>
        <w:tabs>
          <w:tab w:val="left" w:pos="1080"/>
        </w:tabs>
        <w:jc w:val="center"/>
        <w:rPr>
          <w:b/>
        </w:rPr>
      </w:pPr>
    </w:p>
    <w:p w14:paraId="573A5360" w14:textId="77777777" w:rsidR="00DD414F" w:rsidRDefault="00DD414F" w:rsidP="00911117">
      <w:pPr>
        <w:tabs>
          <w:tab w:val="left" w:pos="1080"/>
        </w:tabs>
        <w:jc w:val="center"/>
        <w:rPr>
          <w:b/>
        </w:rPr>
      </w:pPr>
    </w:p>
    <w:p w14:paraId="7BB8EA9A" w14:textId="77777777" w:rsidR="00DD414F" w:rsidRDefault="00DD414F" w:rsidP="00911117">
      <w:pPr>
        <w:tabs>
          <w:tab w:val="left" w:pos="1080"/>
        </w:tabs>
        <w:jc w:val="center"/>
        <w:rPr>
          <w:b/>
        </w:rPr>
      </w:pPr>
    </w:p>
    <w:p w14:paraId="0F1218D5" w14:textId="77777777" w:rsidR="00DD414F" w:rsidRDefault="00DD414F" w:rsidP="00911117">
      <w:pPr>
        <w:tabs>
          <w:tab w:val="left" w:pos="1080"/>
        </w:tabs>
        <w:jc w:val="center"/>
        <w:rPr>
          <w:b/>
        </w:rPr>
      </w:pPr>
    </w:p>
    <w:p w14:paraId="35AC6D64" w14:textId="77777777" w:rsidR="00DD414F" w:rsidRDefault="00DD414F" w:rsidP="00911117">
      <w:pPr>
        <w:tabs>
          <w:tab w:val="left" w:pos="1080"/>
        </w:tabs>
        <w:jc w:val="center"/>
        <w:rPr>
          <w:b/>
        </w:rPr>
      </w:pPr>
    </w:p>
    <w:p w14:paraId="59EB5500" w14:textId="77777777" w:rsidR="00DD414F" w:rsidRDefault="00DD414F" w:rsidP="00911117">
      <w:pPr>
        <w:tabs>
          <w:tab w:val="left" w:pos="1080"/>
        </w:tabs>
        <w:jc w:val="center"/>
        <w:rPr>
          <w:b/>
        </w:rPr>
      </w:pPr>
    </w:p>
    <w:p w14:paraId="19162178" w14:textId="77777777" w:rsidR="00DD414F" w:rsidRDefault="00DD414F" w:rsidP="00911117">
      <w:pPr>
        <w:tabs>
          <w:tab w:val="left" w:pos="1080"/>
        </w:tabs>
        <w:jc w:val="center"/>
        <w:rPr>
          <w:b/>
        </w:rPr>
      </w:pPr>
    </w:p>
    <w:p w14:paraId="2F0810E1" w14:textId="77777777" w:rsidR="00DD414F" w:rsidRDefault="00DD414F" w:rsidP="00911117">
      <w:pPr>
        <w:tabs>
          <w:tab w:val="left" w:pos="1080"/>
        </w:tabs>
        <w:jc w:val="center"/>
        <w:rPr>
          <w:b/>
        </w:rPr>
      </w:pPr>
    </w:p>
    <w:p w14:paraId="33D55DAB" w14:textId="77777777" w:rsidR="00DD414F" w:rsidRDefault="00DD414F" w:rsidP="00911117">
      <w:pPr>
        <w:tabs>
          <w:tab w:val="left" w:pos="1080"/>
        </w:tabs>
        <w:jc w:val="center"/>
        <w:rPr>
          <w:b/>
        </w:rPr>
      </w:pPr>
    </w:p>
    <w:p w14:paraId="45F52FB5" w14:textId="77777777" w:rsidR="00DD414F" w:rsidRDefault="00DD414F" w:rsidP="00911117">
      <w:pPr>
        <w:tabs>
          <w:tab w:val="left" w:pos="1080"/>
        </w:tabs>
        <w:jc w:val="center"/>
        <w:rPr>
          <w:b/>
        </w:rPr>
      </w:pPr>
    </w:p>
    <w:p w14:paraId="6A720DC7" w14:textId="77777777" w:rsidR="00DD414F" w:rsidRDefault="00DD414F" w:rsidP="00911117">
      <w:pPr>
        <w:tabs>
          <w:tab w:val="left" w:pos="1080"/>
        </w:tabs>
        <w:jc w:val="center"/>
        <w:rPr>
          <w:b/>
        </w:rPr>
      </w:pPr>
    </w:p>
    <w:p w14:paraId="49B575B9" w14:textId="77777777" w:rsidR="00DD414F" w:rsidRDefault="00DD414F" w:rsidP="00911117">
      <w:pPr>
        <w:tabs>
          <w:tab w:val="left" w:pos="1080"/>
        </w:tabs>
        <w:jc w:val="center"/>
        <w:rPr>
          <w:b/>
        </w:rPr>
      </w:pPr>
    </w:p>
    <w:p w14:paraId="1E139D94" w14:textId="77777777" w:rsidR="00DD414F" w:rsidRDefault="00DD414F" w:rsidP="00911117">
      <w:pPr>
        <w:tabs>
          <w:tab w:val="left" w:pos="1080"/>
        </w:tabs>
        <w:jc w:val="center"/>
        <w:rPr>
          <w:b/>
        </w:rPr>
      </w:pPr>
    </w:p>
    <w:p w14:paraId="647644A5" w14:textId="77777777" w:rsidR="00DD414F" w:rsidRDefault="00DD414F" w:rsidP="00E410FC">
      <w:pPr>
        <w:tabs>
          <w:tab w:val="left" w:pos="1080"/>
        </w:tabs>
        <w:rPr>
          <w:b/>
        </w:rPr>
      </w:pPr>
    </w:p>
    <w:p w14:paraId="79C688E9" w14:textId="77777777" w:rsidR="00DD414F" w:rsidRDefault="00DD414F" w:rsidP="00911117">
      <w:pPr>
        <w:tabs>
          <w:tab w:val="left" w:pos="1080"/>
        </w:tabs>
        <w:jc w:val="center"/>
        <w:rPr>
          <w:b/>
        </w:rPr>
      </w:pPr>
    </w:p>
    <w:p w14:paraId="3DBCF60C" w14:textId="77777777" w:rsidR="00DD414F" w:rsidRDefault="00DD414F" w:rsidP="00911117">
      <w:pPr>
        <w:tabs>
          <w:tab w:val="left" w:pos="1080"/>
        </w:tabs>
        <w:jc w:val="center"/>
        <w:rPr>
          <w:b/>
        </w:rPr>
      </w:pPr>
    </w:p>
    <w:p w14:paraId="2108CA12" w14:textId="77777777" w:rsidR="00DD414F" w:rsidRDefault="00DD414F" w:rsidP="00911117">
      <w:pPr>
        <w:tabs>
          <w:tab w:val="left" w:pos="1080"/>
        </w:tabs>
        <w:jc w:val="center"/>
        <w:rPr>
          <w:b/>
        </w:rPr>
      </w:pPr>
    </w:p>
    <w:p w14:paraId="60E278CC" w14:textId="77777777" w:rsidR="00DD414F" w:rsidRDefault="00DD414F" w:rsidP="00911117">
      <w:pPr>
        <w:tabs>
          <w:tab w:val="left" w:pos="1080"/>
        </w:tabs>
        <w:jc w:val="center"/>
        <w:rPr>
          <w:b/>
        </w:rPr>
      </w:pPr>
    </w:p>
    <w:p w14:paraId="3B5D8F20" w14:textId="77777777" w:rsidR="00DD414F" w:rsidRDefault="00DD414F" w:rsidP="00911117">
      <w:pPr>
        <w:tabs>
          <w:tab w:val="left" w:pos="1080"/>
        </w:tabs>
        <w:jc w:val="center"/>
        <w:rPr>
          <w:b/>
        </w:rPr>
      </w:pPr>
    </w:p>
    <w:p w14:paraId="09A045D7" w14:textId="77777777" w:rsidR="00DD414F" w:rsidRDefault="00DD414F" w:rsidP="00911117">
      <w:pPr>
        <w:tabs>
          <w:tab w:val="left" w:pos="1080"/>
        </w:tabs>
        <w:jc w:val="center"/>
        <w:rPr>
          <w:b/>
        </w:rPr>
      </w:pPr>
    </w:p>
    <w:p w14:paraId="1B3572C0" w14:textId="77777777" w:rsidR="00343397" w:rsidRDefault="00343397" w:rsidP="00911117">
      <w:pPr>
        <w:tabs>
          <w:tab w:val="left" w:pos="1080"/>
        </w:tabs>
        <w:jc w:val="center"/>
        <w:rPr>
          <w:b/>
        </w:rPr>
      </w:pPr>
    </w:p>
    <w:p w14:paraId="4D9A1F3B" w14:textId="4E1313E6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811"/>
        <w:gridCol w:w="812"/>
        <w:gridCol w:w="812"/>
        <w:gridCol w:w="812"/>
        <w:gridCol w:w="812"/>
        <w:gridCol w:w="812"/>
        <w:gridCol w:w="812"/>
        <w:gridCol w:w="812"/>
      </w:tblGrid>
      <w:tr w:rsidR="005A506D" w:rsidRPr="00050158" w14:paraId="1C437290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73D72F" w14:textId="77777777" w:rsidR="00872815" w:rsidRPr="00050158" w:rsidRDefault="00872815" w:rsidP="008F7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12FA12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104FC5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D0FA21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189B5A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0CC3F4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C65603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DE79EC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F81B7D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9C5AD9" w:rsidRPr="00050158" w14:paraId="436451C8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C45E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Androscoggin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043FC" w14:textId="64A3FE9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CDB5B" w14:textId="7FAFEDA1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836D4" w14:textId="541B328B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C5E1F" w14:textId="1B3C442F" w:rsidR="009C5AD9" w:rsidRDefault="009C5AD9" w:rsidP="00DD41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3B5E3" w14:textId="0AA05115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58B39" w14:textId="6B95D869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E7AA" w14:textId="78045DEC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5C6C" w14:textId="2C93846C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7BB37664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487C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Aroostook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AD4A" w14:textId="18FB47C7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BCD9E" w14:textId="63C85EF6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C0927" w14:textId="45B2842B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80698" w14:textId="721091D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1BE7F" w14:textId="60DC5975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600B4" w14:textId="1A0D352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5C8D0" w14:textId="641FCA72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C215" w14:textId="324BFC5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2DF0A9C1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E792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Cumberland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8EA6" w14:textId="026B4E5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66281" w14:textId="573B91A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DAD6D" w14:textId="6358973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32224" w14:textId="4E19D25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17601" w14:textId="6C7BBCC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8BD50" w14:textId="4109411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35B55" w14:textId="2F71CE29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3D1B4" w14:textId="281BD4DF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0C48904A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0FE8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Franklin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F2FF" w14:textId="3EAE0B5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217ED" w14:textId="58B4C5B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C992A" w14:textId="741A4CD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CD7B1" w14:textId="5E73ADE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B8FAB" w14:textId="54C4A326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38265" w14:textId="0A335AA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0620" w14:textId="7A16920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DE4A0" w14:textId="4EC224E2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4625C634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2945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Hancock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0135C" w14:textId="4D07347F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37B5A" w14:textId="4C4F55E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FF7BF" w14:textId="025E88B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423D" w14:textId="1F8DB4B9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9EE90" w14:textId="2C8852C5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1B9F8" w14:textId="0987167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826A7" w14:textId="3FA978BC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F9A0D" w14:textId="090DE2F2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1B896016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9ECB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Kennebec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ACC9" w14:textId="69A809E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26918" w14:textId="3DA1B5F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6A1E6" w14:textId="1CCF8B46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DC8C5" w14:textId="00B8E6D7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340F" w14:textId="60937012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62574" w14:textId="7F7FDE6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78C50" w14:textId="75D6411C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A33E" w14:textId="74C8268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3432D02E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E850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Knox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80100" w14:textId="6E9107FC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B6932" w14:textId="74EB97E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F5F55" w14:textId="588FB41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91440" w14:textId="7285F61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AA2F4" w14:textId="26E02C7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6454" w14:textId="4C6B89FC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79D65" w14:textId="1BED26C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EBFB" w14:textId="3D7A968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71C4363F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3FF1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6C21E" w14:textId="4CEC454F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1A9E7" w14:textId="20671D8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FD4D2" w14:textId="22EBC799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41DDB" w14:textId="3BA816C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A42CA" w14:textId="4FD2250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0F182" w14:textId="144D4799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F5EC" w14:textId="3BF7DF57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03594" w14:textId="22EDAD8F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61929971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F3AB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Oxford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A670" w14:textId="347587C6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DCD2" w14:textId="743ECA69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23EB9" w14:textId="424F96F2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48A0" w14:textId="70A5FAB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8010F" w14:textId="7FFFF4FF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D7B9B" w14:textId="1AF74FA5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BDD60" w14:textId="393B10D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86D36" w14:textId="0256FB66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01025BCC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624F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Penobscot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5DDE" w14:textId="1F2BBDCB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0070" w14:textId="0E11644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AD04" w14:textId="3B18D27B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E549C" w14:textId="507C7CE1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BCB7" w14:textId="5FD82C7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47C5E" w14:textId="43C9E3D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3EB5B" w14:textId="7363C821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8C74B" w14:textId="13280BB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767C230F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4287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Piscataquis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D0F55" w14:textId="6C1CE345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21077" w14:textId="230C3C4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E5DE1" w14:textId="4CF269F6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44080" w14:textId="1891B32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B7572" w14:textId="71344C3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57580" w14:textId="5BD1EF1B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9763B" w14:textId="58D386DF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9A141" w14:textId="5DF7323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0D6E4469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FEBF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Sagadahoc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A872" w14:textId="0FC11471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10D0F" w14:textId="3358C32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EC4CC" w14:textId="31EE392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C9D5" w14:textId="40BCD4B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BD6CE" w14:textId="44114FE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824B" w14:textId="1F60F0EF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F2879" w14:textId="760F637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90C3" w14:textId="6F4DA691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42DC77DF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3321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Somerset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D61A9" w14:textId="3C97CFC9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88715" w14:textId="71AFD35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2FFAF" w14:textId="383EF63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781E3" w14:textId="45D64DB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ECCD6" w14:textId="49A591D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512BF" w14:textId="70184B67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CFD87" w14:textId="10E403D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2393" w14:textId="10FC09E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3DCA63C3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8C11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Waldo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2AC9" w14:textId="0954FEF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F4D37" w14:textId="7A26D48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21BE9" w14:textId="780F5EC7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586D2" w14:textId="11EF61B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20393" w14:textId="22D6D0A5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FFDB6" w14:textId="29DE9F4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50AC1" w14:textId="71CBCE6C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A6D92" w14:textId="3015AFA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6AA0891B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14FF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C365C" w14:textId="569A5AC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E11FC" w14:textId="40D51BA6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AA9D" w14:textId="48C4A5C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24079" w14:textId="7FE8391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02A1C" w14:textId="1E3C055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C714C" w14:textId="78A25B21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37DD9" w14:textId="11872512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FD6CE" w14:textId="4B014CE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3629B64E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BCB5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York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C34CF" w14:textId="2B47B5B2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2C6DC" w14:textId="542ABBB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3C1B5" w14:textId="2C3E673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B2A27" w14:textId="292CF491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CD523" w14:textId="24D9628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977AE" w14:textId="4FDE098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1317D" w14:textId="3FCD6C9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47C1A" w14:textId="0BEEFCB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0CFC49FC" w14:textId="77777777" w:rsidTr="000519D5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A566" w14:textId="77777777" w:rsidR="009C5AD9" w:rsidRPr="00050158" w:rsidRDefault="009C5AD9" w:rsidP="009C5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D3CCE" w14:textId="00984285" w:rsidR="009C5AD9" w:rsidRDefault="00DD414F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28353" w14:textId="30996235" w:rsidR="009C5AD9" w:rsidRDefault="00DD414F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4F4D9" w14:textId="08D2843B" w:rsidR="009C5AD9" w:rsidRDefault="00DD414F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FAD" w14:textId="7971FF4C" w:rsidR="009C5AD9" w:rsidRDefault="00DD414F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A5755" w14:textId="35C009B1" w:rsidR="009C5AD9" w:rsidRDefault="00DD414F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5164B" w14:textId="3F6FB026" w:rsidR="009C5AD9" w:rsidRDefault="00DD414F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520D9" w14:textId="7A56D829" w:rsidR="009C5AD9" w:rsidRDefault="00DD414F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0A5D" w14:textId="62C325E5" w:rsidR="009C5AD9" w:rsidRDefault="00DD414F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</w:t>
            </w:r>
          </w:p>
        </w:tc>
      </w:tr>
      <w:tr w:rsidR="000519D5" w:rsidRPr="00050158" w14:paraId="1A58FD1C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534E6" w14:textId="77777777" w:rsidR="000519D5" w:rsidRDefault="000519D5" w:rsidP="009C5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F899D2" w14:textId="77777777" w:rsidR="000519D5" w:rsidRPr="00050158" w:rsidRDefault="000519D5" w:rsidP="009C5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1D0A6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5576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14B96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8A6A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3E4F1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2C2B4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1C00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1713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7FE5FB7" w14:textId="77777777" w:rsidR="006D3098" w:rsidRDefault="006D3098" w:rsidP="008F7AB4">
      <w:pPr>
        <w:rPr>
          <w:b/>
        </w:rPr>
      </w:pPr>
    </w:p>
    <w:p w14:paraId="081DEDAF" w14:textId="0518EB0F" w:rsidR="00E2322A" w:rsidRPr="00050158" w:rsidRDefault="00E2322A" w:rsidP="008F7AB4">
      <w:pPr>
        <w:rPr>
          <w:b/>
        </w:rPr>
      </w:pPr>
      <w:r w:rsidRPr="00A547DD">
        <w:rPr>
          <w:b/>
        </w:rPr>
        <w:t>National Influenza</w:t>
      </w:r>
      <w:r w:rsidRPr="00050158">
        <w:rPr>
          <w:b/>
        </w:rPr>
        <w:t xml:space="preserve"> Surveillance Data</w:t>
      </w:r>
    </w:p>
    <w:p w14:paraId="7F340FA3" w14:textId="77777777" w:rsidR="001B651F" w:rsidRDefault="00E2322A" w:rsidP="008F7AB4">
      <w:r w:rsidRPr="00050158">
        <w:t xml:space="preserve">Source: </w:t>
      </w:r>
      <w:hyperlink r:id="rId23" w:history="1">
        <w:r w:rsidR="00BD4211" w:rsidRPr="000A4036">
          <w:rPr>
            <w:rStyle w:val="Hyperlink"/>
          </w:rPr>
          <w:t>https://www.cdc.gov/flu/weekly/</w:t>
        </w:r>
      </w:hyperlink>
      <w:r w:rsidR="00BD4211">
        <w:t xml:space="preserve"> </w:t>
      </w:r>
    </w:p>
    <w:p w14:paraId="35D05B8D" w14:textId="602F135B" w:rsidR="00441EC7" w:rsidRDefault="00441EC7" w:rsidP="00441EC7">
      <w:pPr>
        <w:tabs>
          <w:tab w:val="left" w:pos="5896"/>
        </w:tabs>
      </w:pPr>
    </w:p>
    <w:p w14:paraId="6181F75A" w14:textId="17A9D0EE" w:rsidR="005B5EB3" w:rsidRDefault="009C5AD9" w:rsidP="005A506D">
      <w:pPr>
        <w:tabs>
          <w:tab w:val="left" w:pos="5896"/>
        </w:tabs>
        <w:rPr>
          <w:noProof/>
        </w:rPr>
      </w:pPr>
      <w:r>
        <w:rPr>
          <w:noProof/>
        </w:rPr>
        <w:drawing>
          <wp:inline distT="0" distB="0" distL="0" distR="0" wp14:anchorId="50C19F38" wp14:editId="4EDA85B7">
            <wp:extent cx="6858000" cy="63106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31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0F68D" w14:textId="4DBF72FD" w:rsidR="00035C98" w:rsidRPr="00035C98" w:rsidRDefault="00035C98" w:rsidP="00035C98"/>
    <w:p w14:paraId="44AB1FBD" w14:textId="73ED689A" w:rsidR="00035C98" w:rsidRPr="00035C98" w:rsidRDefault="00035C98" w:rsidP="00035C98"/>
    <w:p w14:paraId="75D2DF11" w14:textId="35C48A95" w:rsidR="00035C98" w:rsidRPr="00035C98" w:rsidRDefault="00035C98" w:rsidP="00035C98"/>
    <w:p w14:paraId="50055643" w14:textId="77CB23E6" w:rsidR="00035C98" w:rsidRDefault="00035C98" w:rsidP="00035C98">
      <w:pPr>
        <w:rPr>
          <w:noProof/>
        </w:rPr>
      </w:pPr>
    </w:p>
    <w:p w14:paraId="19628E19" w14:textId="4750BC9F" w:rsidR="00107FD4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</w:pPr>
      <w:r>
        <w:t xml:space="preserve">All current and archived influenza surveillance reports are located at </w:t>
      </w:r>
      <w:hyperlink r:id="rId25" w:tgtFrame="_blank" w:tooltip="https://www.maine.gov/dhhs/flu/weekly" w:history="1">
        <w:r w:rsidRPr="004A5A0B">
          <w:rPr>
            <w:rStyle w:val="Hyperlink"/>
          </w:rPr>
          <w:t>www.maine.gov/dhhs/flu/weekly</w:t>
        </w:r>
      </w:hyperlink>
      <w:r>
        <w:rPr>
          <w:rStyle w:val="Hyperlink"/>
        </w:rPr>
        <w:t xml:space="preserve"> </w:t>
      </w:r>
    </w:p>
    <w:p w14:paraId="23B711BE" w14:textId="2C42CA95" w:rsidR="00107FD4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</w:pPr>
      <w:r>
        <w:t xml:space="preserve">Sign up to automatically receive influenza surveillance report at </w:t>
      </w:r>
      <w:hyperlink r:id="rId26" w:history="1">
        <w:r w:rsidRPr="00636FA9">
          <w:rPr>
            <w:rStyle w:val="Hyperlink"/>
          </w:rPr>
          <w:t>https://public.govdelivery.com/accounts/MEHHS/subscriber/new?preferences=true</w:t>
        </w:r>
      </w:hyperlink>
      <w:r w:rsidRPr="00636FA9">
        <w:t> </w:t>
      </w:r>
      <w:r>
        <w:t xml:space="preserve"> </w:t>
      </w:r>
      <w:r>
        <w:tab/>
      </w:r>
    </w:p>
    <w:p w14:paraId="799CD111" w14:textId="5AC0271D" w:rsidR="00107FD4" w:rsidRPr="00035C98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</w:pPr>
      <w:r w:rsidRPr="00491B0F">
        <w:rPr>
          <w:highlight w:val="yellow"/>
        </w:rPr>
        <w:t>An overview of Maine influenza surveillance, including descriptions of the surveillance systems and data used to generate surveillance reports can be found at</w:t>
      </w:r>
      <w:r>
        <w:t xml:space="preserve"> </w:t>
      </w:r>
      <w:hyperlink r:id="rId27" w:history="1">
        <w:r w:rsidR="000519D5" w:rsidRPr="00AC699F">
          <w:rPr>
            <w:rStyle w:val="Hyperlink"/>
          </w:rPr>
          <w:t>https://www.maine.gov/dhhs/mecdc/infectious-disease/epi/influenza/documents/Flu-Surveillance-Data-Overview-24-25.pdf</w:t>
        </w:r>
      </w:hyperlink>
      <w:r w:rsidR="00556927">
        <w:t xml:space="preserve"> </w:t>
      </w:r>
    </w:p>
    <w:sectPr w:rsidR="00107FD4" w:rsidRPr="00035C98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2782"/>
    <w:rsid w:val="0000496E"/>
    <w:rsid w:val="000050C0"/>
    <w:rsid w:val="00005C77"/>
    <w:rsid w:val="00006CFF"/>
    <w:rsid w:val="00011B85"/>
    <w:rsid w:val="00011BCA"/>
    <w:rsid w:val="0001317B"/>
    <w:rsid w:val="00014981"/>
    <w:rsid w:val="00020CBC"/>
    <w:rsid w:val="000216AC"/>
    <w:rsid w:val="00021A62"/>
    <w:rsid w:val="000220CA"/>
    <w:rsid w:val="00022FCC"/>
    <w:rsid w:val="00025294"/>
    <w:rsid w:val="00025519"/>
    <w:rsid w:val="0003088D"/>
    <w:rsid w:val="00030ED4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7492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FCD"/>
    <w:rsid w:val="000D1344"/>
    <w:rsid w:val="000D139B"/>
    <w:rsid w:val="000D275A"/>
    <w:rsid w:val="000D397E"/>
    <w:rsid w:val="000D4477"/>
    <w:rsid w:val="000D47BE"/>
    <w:rsid w:val="000D4F12"/>
    <w:rsid w:val="000D5C6A"/>
    <w:rsid w:val="000D5E55"/>
    <w:rsid w:val="000E1463"/>
    <w:rsid w:val="000E490B"/>
    <w:rsid w:val="000E6500"/>
    <w:rsid w:val="000E6CAC"/>
    <w:rsid w:val="000E6F70"/>
    <w:rsid w:val="000F19D8"/>
    <w:rsid w:val="000F595B"/>
    <w:rsid w:val="00100BF9"/>
    <w:rsid w:val="00101A77"/>
    <w:rsid w:val="00102B1D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910"/>
    <w:rsid w:val="00192BFF"/>
    <w:rsid w:val="00192DE2"/>
    <w:rsid w:val="0019304E"/>
    <w:rsid w:val="00195B65"/>
    <w:rsid w:val="00197524"/>
    <w:rsid w:val="001A14D0"/>
    <w:rsid w:val="001A7274"/>
    <w:rsid w:val="001A7F32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602"/>
    <w:rsid w:val="002118F6"/>
    <w:rsid w:val="002121CB"/>
    <w:rsid w:val="00212495"/>
    <w:rsid w:val="00213CA1"/>
    <w:rsid w:val="0021454D"/>
    <w:rsid w:val="00214B39"/>
    <w:rsid w:val="00216690"/>
    <w:rsid w:val="00225B57"/>
    <w:rsid w:val="00227D6C"/>
    <w:rsid w:val="002303B7"/>
    <w:rsid w:val="0023612D"/>
    <w:rsid w:val="00236B29"/>
    <w:rsid w:val="002412FD"/>
    <w:rsid w:val="00241EAF"/>
    <w:rsid w:val="00242313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564A"/>
    <w:rsid w:val="002577C0"/>
    <w:rsid w:val="00262A40"/>
    <w:rsid w:val="00263EFE"/>
    <w:rsid w:val="002659D2"/>
    <w:rsid w:val="00266350"/>
    <w:rsid w:val="00266949"/>
    <w:rsid w:val="00267075"/>
    <w:rsid w:val="00271774"/>
    <w:rsid w:val="00272295"/>
    <w:rsid w:val="0027262B"/>
    <w:rsid w:val="002739BF"/>
    <w:rsid w:val="002739F1"/>
    <w:rsid w:val="00283B1A"/>
    <w:rsid w:val="00283B4E"/>
    <w:rsid w:val="002841A7"/>
    <w:rsid w:val="00284606"/>
    <w:rsid w:val="002863C0"/>
    <w:rsid w:val="002909AA"/>
    <w:rsid w:val="0029131D"/>
    <w:rsid w:val="00292357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C1372"/>
    <w:rsid w:val="002D074B"/>
    <w:rsid w:val="002D72C8"/>
    <w:rsid w:val="002D7B7A"/>
    <w:rsid w:val="002E1F94"/>
    <w:rsid w:val="002E3C1F"/>
    <w:rsid w:val="002E6799"/>
    <w:rsid w:val="002E6B14"/>
    <w:rsid w:val="002E7907"/>
    <w:rsid w:val="002F034A"/>
    <w:rsid w:val="002F1BD0"/>
    <w:rsid w:val="002F3FDD"/>
    <w:rsid w:val="002F7127"/>
    <w:rsid w:val="002F79F2"/>
    <w:rsid w:val="0030025C"/>
    <w:rsid w:val="0030125E"/>
    <w:rsid w:val="0030483C"/>
    <w:rsid w:val="00304F23"/>
    <w:rsid w:val="0031129D"/>
    <w:rsid w:val="00312549"/>
    <w:rsid w:val="003132FE"/>
    <w:rsid w:val="00316FC6"/>
    <w:rsid w:val="00317043"/>
    <w:rsid w:val="003215AE"/>
    <w:rsid w:val="00323A72"/>
    <w:rsid w:val="0032476E"/>
    <w:rsid w:val="00324F5D"/>
    <w:rsid w:val="00326B45"/>
    <w:rsid w:val="003275FF"/>
    <w:rsid w:val="00327A60"/>
    <w:rsid w:val="00330FBF"/>
    <w:rsid w:val="003325B0"/>
    <w:rsid w:val="003341C7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7100"/>
    <w:rsid w:val="00371BD8"/>
    <w:rsid w:val="003738E9"/>
    <w:rsid w:val="0037401E"/>
    <w:rsid w:val="003742E5"/>
    <w:rsid w:val="003748B2"/>
    <w:rsid w:val="00380F52"/>
    <w:rsid w:val="00380F96"/>
    <w:rsid w:val="003856CD"/>
    <w:rsid w:val="00386A9F"/>
    <w:rsid w:val="00390364"/>
    <w:rsid w:val="003918C2"/>
    <w:rsid w:val="003953F5"/>
    <w:rsid w:val="003977BB"/>
    <w:rsid w:val="003A1E45"/>
    <w:rsid w:val="003A3CE0"/>
    <w:rsid w:val="003A436F"/>
    <w:rsid w:val="003A6BD6"/>
    <w:rsid w:val="003A6FA3"/>
    <w:rsid w:val="003A71D1"/>
    <w:rsid w:val="003B5F86"/>
    <w:rsid w:val="003B7701"/>
    <w:rsid w:val="003C1738"/>
    <w:rsid w:val="003C22A7"/>
    <w:rsid w:val="003C3229"/>
    <w:rsid w:val="003C6754"/>
    <w:rsid w:val="003C7F09"/>
    <w:rsid w:val="003D117B"/>
    <w:rsid w:val="003D1A7C"/>
    <w:rsid w:val="003D2C63"/>
    <w:rsid w:val="003D6C48"/>
    <w:rsid w:val="003D7308"/>
    <w:rsid w:val="003E10EB"/>
    <w:rsid w:val="003E25B1"/>
    <w:rsid w:val="003E4E12"/>
    <w:rsid w:val="003E5145"/>
    <w:rsid w:val="003F0B7F"/>
    <w:rsid w:val="003F1192"/>
    <w:rsid w:val="003F1784"/>
    <w:rsid w:val="003F2225"/>
    <w:rsid w:val="003F27C6"/>
    <w:rsid w:val="003F2BF2"/>
    <w:rsid w:val="003F2F68"/>
    <w:rsid w:val="003F33AE"/>
    <w:rsid w:val="003F53ED"/>
    <w:rsid w:val="003F5993"/>
    <w:rsid w:val="00403BB3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C2C"/>
    <w:rsid w:val="004B22FD"/>
    <w:rsid w:val="004B244C"/>
    <w:rsid w:val="004B2CEB"/>
    <w:rsid w:val="004B40FE"/>
    <w:rsid w:val="004B4D00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3D5E"/>
    <w:rsid w:val="004F6559"/>
    <w:rsid w:val="004F69DC"/>
    <w:rsid w:val="00500F09"/>
    <w:rsid w:val="0050369B"/>
    <w:rsid w:val="00503EFC"/>
    <w:rsid w:val="00503F9E"/>
    <w:rsid w:val="00506872"/>
    <w:rsid w:val="00507A2C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6308"/>
    <w:rsid w:val="00546569"/>
    <w:rsid w:val="0055185A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1BAD"/>
    <w:rsid w:val="005A210A"/>
    <w:rsid w:val="005A2445"/>
    <w:rsid w:val="005A2523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244B"/>
    <w:rsid w:val="005C2BB6"/>
    <w:rsid w:val="005C31FB"/>
    <w:rsid w:val="005C40B4"/>
    <w:rsid w:val="005C43E5"/>
    <w:rsid w:val="005C55B8"/>
    <w:rsid w:val="005C5CD4"/>
    <w:rsid w:val="005C6F63"/>
    <w:rsid w:val="005D09A2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4177"/>
    <w:rsid w:val="0062622A"/>
    <w:rsid w:val="00630C66"/>
    <w:rsid w:val="00637A34"/>
    <w:rsid w:val="006407EC"/>
    <w:rsid w:val="00640A45"/>
    <w:rsid w:val="00644680"/>
    <w:rsid w:val="006454D1"/>
    <w:rsid w:val="00645AB9"/>
    <w:rsid w:val="006477AB"/>
    <w:rsid w:val="00647C6B"/>
    <w:rsid w:val="0065154F"/>
    <w:rsid w:val="00651870"/>
    <w:rsid w:val="00651D3A"/>
    <w:rsid w:val="00654EDC"/>
    <w:rsid w:val="00655703"/>
    <w:rsid w:val="00655940"/>
    <w:rsid w:val="00655ABC"/>
    <w:rsid w:val="00661B24"/>
    <w:rsid w:val="00662D94"/>
    <w:rsid w:val="00662F00"/>
    <w:rsid w:val="006632ED"/>
    <w:rsid w:val="00664EA5"/>
    <w:rsid w:val="006706CF"/>
    <w:rsid w:val="00671D68"/>
    <w:rsid w:val="00673D41"/>
    <w:rsid w:val="006747DE"/>
    <w:rsid w:val="00676705"/>
    <w:rsid w:val="0067707A"/>
    <w:rsid w:val="00677C21"/>
    <w:rsid w:val="0068055F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ABE"/>
    <w:rsid w:val="006B4F0C"/>
    <w:rsid w:val="006B521F"/>
    <w:rsid w:val="006C025F"/>
    <w:rsid w:val="006C1B01"/>
    <w:rsid w:val="006C2475"/>
    <w:rsid w:val="006C6F37"/>
    <w:rsid w:val="006C77A6"/>
    <w:rsid w:val="006C7CB2"/>
    <w:rsid w:val="006D0996"/>
    <w:rsid w:val="006D0E60"/>
    <w:rsid w:val="006D3098"/>
    <w:rsid w:val="006D45DA"/>
    <w:rsid w:val="006D568C"/>
    <w:rsid w:val="006D5776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50053"/>
    <w:rsid w:val="007517D4"/>
    <w:rsid w:val="00751E1C"/>
    <w:rsid w:val="00752D3C"/>
    <w:rsid w:val="00754DFC"/>
    <w:rsid w:val="00756D71"/>
    <w:rsid w:val="007573E6"/>
    <w:rsid w:val="00762BF1"/>
    <w:rsid w:val="00765851"/>
    <w:rsid w:val="00767713"/>
    <w:rsid w:val="00767BA7"/>
    <w:rsid w:val="00770445"/>
    <w:rsid w:val="00771A38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F4B"/>
    <w:rsid w:val="00794A3A"/>
    <w:rsid w:val="007974A1"/>
    <w:rsid w:val="007A1D4D"/>
    <w:rsid w:val="007A291A"/>
    <w:rsid w:val="007A3F67"/>
    <w:rsid w:val="007A44C1"/>
    <w:rsid w:val="007A722C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7667"/>
    <w:rsid w:val="00801B93"/>
    <w:rsid w:val="008022C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526A1"/>
    <w:rsid w:val="00853AE6"/>
    <w:rsid w:val="00854C2F"/>
    <w:rsid w:val="008556A8"/>
    <w:rsid w:val="0086030A"/>
    <w:rsid w:val="0086172C"/>
    <w:rsid w:val="008628A5"/>
    <w:rsid w:val="00863744"/>
    <w:rsid w:val="00864598"/>
    <w:rsid w:val="00864CB8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4276"/>
    <w:rsid w:val="008F5FA8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93B"/>
    <w:rsid w:val="00925C11"/>
    <w:rsid w:val="009271C3"/>
    <w:rsid w:val="00930409"/>
    <w:rsid w:val="00930CE3"/>
    <w:rsid w:val="00931344"/>
    <w:rsid w:val="009318C9"/>
    <w:rsid w:val="00932321"/>
    <w:rsid w:val="00933498"/>
    <w:rsid w:val="00935509"/>
    <w:rsid w:val="00935A8E"/>
    <w:rsid w:val="00936AAC"/>
    <w:rsid w:val="0093735B"/>
    <w:rsid w:val="00940516"/>
    <w:rsid w:val="0094338A"/>
    <w:rsid w:val="00947B15"/>
    <w:rsid w:val="009502E4"/>
    <w:rsid w:val="00950C7D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27E9"/>
    <w:rsid w:val="0098395E"/>
    <w:rsid w:val="00992817"/>
    <w:rsid w:val="00996018"/>
    <w:rsid w:val="00996992"/>
    <w:rsid w:val="00996DEF"/>
    <w:rsid w:val="009A0C16"/>
    <w:rsid w:val="009A0C30"/>
    <w:rsid w:val="009A158A"/>
    <w:rsid w:val="009A7ED0"/>
    <w:rsid w:val="009B0BE7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631B"/>
    <w:rsid w:val="009F6A9F"/>
    <w:rsid w:val="009F71EC"/>
    <w:rsid w:val="00A003E7"/>
    <w:rsid w:val="00A026CA"/>
    <w:rsid w:val="00A04C20"/>
    <w:rsid w:val="00A05E3A"/>
    <w:rsid w:val="00A118A4"/>
    <w:rsid w:val="00A157BB"/>
    <w:rsid w:val="00A208B5"/>
    <w:rsid w:val="00A21AB4"/>
    <w:rsid w:val="00A21C97"/>
    <w:rsid w:val="00A2567B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21A9"/>
    <w:rsid w:val="00A67E7D"/>
    <w:rsid w:val="00A70F16"/>
    <w:rsid w:val="00A71552"/>
    <w:rsid w:val="00A71A05"/>
    <w:rsid w:val="00A7248C"/>
    <w:rsid w:val="00A72689"/>
    <w:rsid w:val="00A77E4A"/>
    <w:rsid w:val="00A8472C"/>
    <w:rsid w:val="00A85DEA"/>
    <w:rsid w:val="00A86B16"/>
    <w:rsid w:val="00A86CA4"/>
    <w:rsid w:val="00A9156B"/>
    <w:rsid w:val="00A9206F"/>
    <w:rsid w:val="00A92884"/>
    <w:rsid w:val="00A9363D"/>
    <w:rsid w:val="00A93A27"/>
    <w:rsid w:val="00A95BF5"/>
    <w:rsid w:val="00A95D9E"/>
    <w:rsid w:val="00A96375"/>
    <w:rsid w:val="00A969D6"/>
    <w:rsid w:val="00AA23EA"/>
    <w:rsid w:val="00AA2EA7"/>
    <w:rsid w:val="00AA348F"/>
    <w:rsid w:val="00AA4131"/>
    <w:rsid w:val="00AA58FD"/>
    <w:rsid w:val="00AA729B"/>
    <w:rsid w:val="00AB02AB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4B10"/>
    <w:rsid w:val="00AE50E4"/>
    <w:rsid w:val="00AE582C"/>
    <w:rsid w:val="00AE6D47"/>
    <w:rsid w:val="00AE79E5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6121"/>
    <w:rsid w:val="00B42449"/>
    <w:rsid w:val="00B43D00"/>
    <w:rsid w:val="00B44CCF"/>
    <w:rsid w:val="00B4764A"/>
    <w:rsid w:val="00B50EBC"/>
    <w:rsid w:val="00B5765E"/>
    <w:rsid w:val="00B61353"/>
    <w:rsid w:val="00B6156A"/>
    <w:rsid w:val="00B61AB4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7726"/>
    <w:rsid w:val="00BA0665"/>
    <w:rsid w:val="00BA3739"/>
    <w:rsid w:val="00BA55DC"/>
    <w:rsid w:val="00BA6433"/>
    <w:rsid w:val="00BA6A5D"/>
    <w:rsid w:val="00BB3699"/>
    <w:rsid w:val="00BB5D95"/>
    <w:rsid w:val="00BC177D"/>
    <w:rsid w:val="00BC5789"/>
    <w:rsid w:val="00BD1991"/>
    <w:rsid w:val="00BD2DF8"/>
    <w:rsid w:val="00BD3956"/>
    <w:rsid w:val="00BD4211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46E9"/>
    <w:rsid w:val="00C36306"/>
    <w:rsid w:val="00C37C4D"/>
    <w:rsid w:val="00C37DD8"/>
    <w:rsid w:val="00C42653"/>
    <w:rsid w:val="00C50291"/>
    <w:rsid w:val="00C530F8"/>
    <w:rsid w:val="00C5364A"/>
    <w:rsid w:val="00C53A29"/>
    <w:rsid w:val="00C53B21"/>
    <w:rsid w:val="00C554D6"/>
    <w:rsid w:val="00C577DE"/>
    <w:rsid w:val="00C61635"/>
    <w:rsid w:val="00C630B5"/>
    <w:rsid w:val="00C63D78"/>
    <w:rsid w:val="00C65C97"/>
    <w:rsid w:val="00C66619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5949"/>
    <w:rsid w:val="00CA5B44"/>
    <w:rsid w:val="00CA5D96"/>
    <w:rsid w:val="00CA6687"/>
    <w:rsid w:val="00CB0444"/>
    <w:rsid w:val="00CB2701"/>
    <w:rsid w:val="00CB38C5"/>
    <w:rsid w:val="00CB62B7"/>
    <w:rsid w:val="00CB75D1"/>
    <w:rsid w:val="00CB76F1"/>
    <w:rsid w:val="00CB78D2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D00801"/>
    <w:rsid w:val="00D10488"/>
    <w:rsid w:val="00D11B26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42CB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960"/>
    <w:rsid w:val="00D50DA4"/>
    <w:rsid w:val="00D5293F"/>
    <w:rsid w:val="00D534DC"/>
    <w:rsid w:val="00D53A24"/>
    <w:rsid w:val="00D544BA"/>
    <w:rsid w:val="00D547D1"/>
    <w:rsid w:val="00D56F75"/>
    <w:rsid w:val="00D57D6E"/>
    <w:rsid w:val="00D62D42"/>
    <w:rsid w:val="00D65E51"/>
    <w:rsid w:val="00D66075"/>
    <w:rsid w:val="00D66EA9"/>
    <w:rsid w:val="00D6777F"/>
    <w:rsid w:val="00D67BA9"/>
    <w:rsid w:val="00D702A2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27C9"/>
    <w:rsid w:val="00DA3551"/>
    <w:rsid w:val="00DA3A77"/>
    <w:rsid w:val="00DA684B"/>
    <w:rsid w:val="00DA79E7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414F"/>
    <w:rsid w:val="00DD67F7"/>
    <w:rsid w:val="00DD7FE0"/>
    <w:rsid w:val="00DE06E2"/>
    <w:rsid w:val="00DE4138"/>
    <w:rsid w:val="00DE4368"/>
    <w:rsid w:val="00DF0087"/>
    <w:rsid w:val="00DF012E"/>
    <w:rsid w:val="00DF25F4"/>
    <w:rsid w:val="00DF56AF"/>
    <w:rsid w:val="00DF6907"/>
    <w:rsid w:val="00E07728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300B1"/>
    <w:rsid w:val="00E35653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A4CE7"/>
    <w:rsid w:val="00EA53C8"/>
    <w:rsid w:val="00EA5A5C"/>
    <w:rsid w:val="00EA6016"/>
    <w:rsid w:val="00EB31BF"/>
    <w:rsid w:val="00EB3878"/>
    <w:rsid w:val="00EB3EAB"/>
    <w:rsid w:val="00EB672A"/>
    <w:rsid w:val="00EB6948"/>
    <w:rsid w:val="00EB6F96"/>
    <w:rsid w:val="00EC1F74"/>
    <w:rsid w:val="00EC7B06"/>
    <w:rsid w:val="00ED0879"/>
    <w:rsid w:val="00ED0D31"/>
    <w:rsid w:val="00ED29D3"/>
    <w:rsid w:val="00ED37DF"/>
    <w:rsid w:val="00ED6649"/>
    <w:rsid w:val="00EE069D"/>
    <w:rsid w:val="00EE08EA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53A1"/>
    <w:rsid w:val="00F97116"/>
    <w:rsid w:val="00FA05CF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73E"/>
    <w:rsid w:val="00FB691C"/>
    <w:rsid w:val="00FB6C81"/>
    <w:rsid w:val="00FB7279"/>
    <w:rsid w:val="00FC0A7A"/>
    <w:rsid w:val="00FC2763"/>
    <w:rsid w:val="00FC2DA6"/>
    <w:rsid w:val="00FC3960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www.cdc.gov/flu/weekly/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712270341207349"/>
          <c:y val="7.8431372549019607E-2"/>
          <c:w val="0.8396550743657043"/>
          <c:h val="0.61080578831389387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8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330271216097992E-2"/>
          <c:y val="0.8621945173519977"/>
          <c:w val="0.98566972878390202"/>
          <c:h val="0.137805602526761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00485631522634"/>
          <c:y val="7.3455759599332218E-2"/>
          <c:w val="0.84676059813101845"/>
          <c:h val="0.57792173307218064"/>
        </c:manualLayout>
      </c:layout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E8-4DD9-A625-6D59D60F0D90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Syndromic!$B$5:$AH$5</c:f>
              <c:numCache>
                <c:formatCode>General</c:formatCode>
                <c:ptCount val="33"/>
                <c:pt idx="0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E8-4DD9-A625-6D59D60F0D90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E8-4DD9-A625-6D59D60F0D90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0E8-4DD9-A625-6D59D60F0D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3131979322108693"/>
              <c:y val="0.723631248931946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7167825641160459"/>
          <c:w val="1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8558954169190391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30577427821523"/>
          <c:y val="5.0925925925925923E-2"/>
          <c:w val="0.85044959657820551"/>
          <c:h val="0.4911789342977935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HETL!$B$2:$BA$2</c:f>
              <c:numCache>
                <c:formatCode>General</c:formatCode>
                <c:ptCount val="5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25-42AB-B852-0FA0D178F0E2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HETL!$B$3:$BA$3</c:f>
              <c:numCache>
                <c:formatCode>General</c:formatCode>
                <c:ptCount val="52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25-42AB-B852-0FA0D178F0E2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HETL!$B$4:$AH$4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2-AF25-42AB-B852-0FA0D178F0E2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HETL!$B$5:$BA$5</c:f>
              <c:numCache>
                <c:formatCode>General</c:formatCode>
                <c:ptCount val="5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F25-42AB-B852-0FA0D178F0E2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AF25-42AB-B852-0FA0D178F0E2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HETL!$B$7:$AH$7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AF25-42AB-B852-0FA0D178F0E2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F25-42AB-B852-0FA0D178F0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HETL!$B$1:$AL$1</c15:sqref>
                        </c15:formulaRef>
                      </c:ext>
                    </c:extLst>
                    <c:numCache>
                      <c:formatCode>General</c:formatCode>
                      <c:ptCount val="37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  <c:pt idx="33">
                        <c:v>21</c:v>
                      </c:pt>
                      <c:pt idx="34">
                        <c:v>22</c:v>
                      </c:pt>
                      <c:pt idx="35">
                        <c:v>23</c:v>
                      </c:pt>
                      <c:pt idx="36">
                        <c:v>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100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AF25-42AB-B852-0FA0D178F0E2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27631388248186151"/>
              <c:y val="0.622330077951770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6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Numver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5597002392E-2"/>
          <c:y val="0.7317931863648458"/>
          <c:w val="0.55705700928798041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HETL!$BB$1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8B-48D2-A42D-E9CC7D983EA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8B-48D2-A42D-E9CC7D983EA4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8B-48D2-A42D-E9CC7D983EA4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8B-48D2-A42D-E9CC7D983EA4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8B-48D2-A42D-E9CC7D983EA4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28B-48D2-A42D-E9CC7D983EA4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28B-48D2-A42D-E9CC7D983EA4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HETL!$BB$2:$BB$8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728B-48D2-A42D-E9CC7D983E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779217330721806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5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70776931361735"/>
          <c:y val="1.5652823358007977E-2"/>
          <c:w val="0.85903211761509279"/>
          <c:h val="0.6979330694176686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Labs!$C$15:$BB$15</c:f>
              <c:numCache>
                <c:formatCode>General</c:formatCode>
                <c:ptCount val="52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81-4BDE-870A-BB5CBFE2F2C1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Labs!$C$16:$BB$16</c:f>
              <c:numCache>
                <c:formatCode>General</c:formatCode>
                <c:ptCount val="52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81-4BDE-870A-BB5CBFE2F2C1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Labs!$C$17:$BB$17</c:f>
              <c:numCache>
                <c:formatCode>General</c:formatCode>
                <c:ptCount val="5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81-4BDE-870A-BB5CBFE2F2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10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781939883927359"/>
          <c:y val="0.88750857728760546"/>
          <c:w val="0.62436120232145287"/>
          <c:h val="9.91358300579706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65791776028"/>
          <c:y val="5.8737160303422915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  <c:max val="1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Tiendrebeogo, Gildas</cp:lastModifiedBy>
  <cp:revision>4</cp:revision>
  <cp:lastPrinted>2024-10-08T21:14:00Z</cp:lastPrinted>
  <dcterms:created xsi:type="dcterms:W3CDTF">2024-10-08T20:48:00Z</dcterms:created>
  <dcterms:modified xsi:type="dcterms:W3CDTF">2024-10-10T14:01:00Z</dcterms:modified>
</cp:coreProperties>
</file>